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July 2,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MIDERA FOOD PROCESSING, INC.</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500" w:type="dxa"/>
        <w:tblCellMar>
          <w:top w:w="0" w:type="dxa"/>
          <w:left w:w="0" w:type="dxa"/>
          <w:bottom w:w="0" w:type="dxa"/>
          <w:right w:w="0" w:type="dxa"/>
        </w:tblCellMar>
      </w:tblPr>
      <w:tr>
        <w:trPr>
          <w:trHeight w:val="211"/>
        </w:trPr>
        <w:tc>
          <w:tcPr>
            <w:tcW w:w="4340" w:type="dxa"/>
            <w:vAlign w:val="bottom"/>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960" w:type="dxa"/>
            <w:vAlign w:val="bottom"/>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39-3886250</w:t>
            </w:r>
          </w:p>
        </w:tc>
      </w:tr>
      <w:tr>
        <w:trPr>
          <w:trHeight w:val="147"/>
        </w:trPr>
        <w:tc>
          <w:tcPr>
            <w:tcW w:w="4340" w:type="dxa"/>
            <w:vAlign w:val="bottom"/>
          </w:tcPr>
          <w:p>
            <w:pPr>
              <w:jc w:val="center"/>
              <w:ind w:right="1760"/>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960" w:type="dxa"/>
            <w:vAlign w:val="bottom"/>
          </w:tcPr>
          <w:p>
            <w:pPr>
              <w:jc w:val="center"/>
              <w:ind w:left="1782"/>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4340" w:type="dxa"/>
            <w:vAlign w:val="bottom"/>
          </w:tcPr>
          <w:p>
            <w:pPr>
              <w:jc w:val="center"/>
              <w:ind w:right="176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96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3"/>
        </w:trPr>
        <w:tc>
          <w:tcPr>
            <w:tcW w:w="434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8"/>
              </w:rPr>
              <w:t>10275 West Higgins Road, Suite</w:t>
            </w:r>
          </w:p>
        </w:tc>
        <w:tc>
          <w:tcPr>
            <w:tcW w:w="2960" w:type="dxa"/>
            <w:vAlign w:val="bottom"/>
          </w:tcPr>
          <w:p>
            <w:pPr>
              <w:spacing w:after="0"/>
              <w:rPr>
                <w:sz w:val="24"/>
                <w:szCs w:val="24"/>
                <w:color w:val="auto"/>
              </w:rPr>
            </w:pPr>
          </w:p>
        </w:tc>
      </w:tr>
      <w:tr>
        <w:trPr>
          <w:trHeight w:val="225"/>
        </w:trPr>
        <w:tc>
          <w:tcPr>
            <w:tcW w:w="4340" w:type="dxa"/>
            <w:vAlign w:val="bottom"/>
          </w:tcPr>
          <w:p>
            <w:pPr>
              <w:jc w:val="center"/>
              <w:ind w:right="1760"/>
              <w:spacing w:after="0"/>
              <w:rPr>
                <w:sz w:val="20"/>
                <w:szCs w:val="20"/>
                <w:color w:val="auto"/>
              </w:rPr>
            </w:pPr>
            <w:r>
              <w:rPr>
                <w:rFonts w:ascii="Times New Roman" w:cs="Times New Roman" w:eastAsia="Times New Roman" w:hAnsi="Times New Roman"/>
                <w:sz w:val="18"/>
                <w:szCs w:val="18"/>
                <w:b w:val="1"/>
                <w:bCs w:val="1"/>
                <w:color w:val="auto"/>
                <w:w w:val="99"/>
              </w:rPr>
              <w:t>300, Rosemont, Illinois</w:t>
            </w:r>
          </w:p>
        </w:tc>
        <w:tc>
          <w:tcPr>
            <w:tcW w:w="2960" w:type="dxa"/>
            <w:vAlign w:val="bottom"/>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60018</w:t>
            </w:r>
          </w:p>
        </w:tc>
      </w:tr>
      <w:tr>
        <w:trPr>
          <w:trHeight w:val="187"/>
        </w:trPr>
        <w:tc>
          <w:tcPr>
            <w:tcW w:w="4340" w:type="dxa"/>
            <w:vAlign w:val="bottom"/>
          </w:tcPr>
          <w:p>
            <w:pPr>
              <w:jc w:val="center"/>
              <w:ind w:right="17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960" w:type="dxa"/>
            <w:vAlign w:val="bottom"/>
          </w:tcPr>
          <w:p>
            <w:pPr>
              <w:jc w:val="center"/>
              <w:ind w:left="1782"/>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Midera Food Processing, Inc. 2026 Long-Term Incentive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Amy A. Campbell</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10275 West Higgins Road, Suite 300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Rosemont, Illinois 60018</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(847) 857-6696</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i w:val="1"/>
          <w:iCs w:val="1"/>
          <w:color w:val="auto"/>
        </w:rPr>
        <w:t>With a copy to:</w:t>
      </w:r>
    </w:p>
    <w:p>
      <w:pPr>
        <w:spacing w:after="0" w:line="11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Shilpi Gupta</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Skadden, Arps, Slate, Meagher &amp; Flom LLP</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320 South Canal Street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Chicago, Illinois 60606</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(312) 407-0700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233045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80"/>
              <w:spacing w:after="0"/>
              <w:rPr>
                <w:sz w:val="20"/>
                <w:szCs w:val="20"/>
                <w:color w:val="auto"/>
              </w:rPr>
            </w:pPr>
            <w:r>
              <w:rPr>
                <w:rFonts w:ascii="Times New Roman" w:cs="Times New Roman" w:eastAsia="Times New Roman" w:hAnsi="Times New Roman"/>
                <w:sz w:val="18"/>
                <w:szCs w:val="18"/>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This Registration Statement on Form S-8 is being filed to register 3,000,000 shares of Common Stock, par value $0.01 per share (the “</w:t>
      </w:r>
      <w:r>
        <w:rPr>
          <w:rFonts w:ascii="Times New Roman" w:cs="Times New Roman" w:eastAsia="Times New Roman" w:hAnsi="Times New Roman"/>
          <w:sz w:val="18"/>
          <w:szCs w:val="18"/>
          <w:u w:val="single" w:color="auto"/>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of Midera Food Processing, Inc. (the “</w:t>
      </w:r>
      <w:r>
        <w:rPr>
          <w:rFonts w:ascii="Times New Roman" w:cs="Times New Roman" w:eastAsia="Times New Roman" w:hAnsi="Times New Roman"/>
          <w:sz w:val="18"/>
          <w:szCs w:val="18"/>
          <w:u w:val="single" w:color="auto"/>
          <w:color w:val="auto"/>
        </w:rPr>
        <w:t>Registrant</w:t>
      </w:r>
      <w:r>
        <w:rPr>
          <w:rFonts w:ascii="Times New Roman" w:cs="Times New Roman" w:eastAsia="Times New Roman" w:hAnsi="Times New Roman"/>
          <w:sz w:val="18"/>
          <w:szCs w:val="18"/>
          <w:color w:val="auto"/>
        </w:rPr>
        <w:t>”) reserved for issuance pursuant to The Midera Food Processing, Inc. 2026 Long-Term Incentive Plan (the “</w:t>
      </w:r>
      <w:r>
        <w:rPr>
          <w:rFonts w:ascii="Times New Roman" w:cs="Times New Roman" w:eastAsia="Times New Roman" w:hAnsi="Times New Roman"/>
          <w:sz w:val="18"/>
          <w:szCs w:val="18"/>
          <w:u w:val="single" w:color="auto"/>
          <w:color w:val="auto"/>
        </w:rPr>
        <w:t>2026 LTIP</w:t>
      </w:r>
      <w:r>
        <w:rPr>
          <w:rFonts w:ascii="Times New Roman" w:cs="Times New Roman" w:eastAsia="Times New Roman" w:hAnsi="Times New Roman"/>
          <w:sz w:val="18"/>
          <w:szCs w:val="18"/>
          <w:color w:val="auto"/>
        </w:rPr>
        <w:t>”), and which may be issued by way of grants of equity awards to non-employee directors of the Registrant or employees or other service providers of the Registrant or any affiliate or subsidiary of the Registrant, including grants pursuant to the conversion of The Middleby Corporation (“</w:t>
      </w:r>
      <w:r>
        <w:rPr>
          <w:rFonts w:ascii="Times New Roman" w:cs="Times New Roman" w:eastAsia="Times New Roman" w:hAnsi="Times New Roman"/>
          <w:sz w:val="18"/>
          <w:szCs w:val="18"/>
          <w:u w:val="single" w:color="auto"/>
          <w:color w:val="auto"/>
        </w:rPr>
        <w:t>Middleby</w:t>
      </w:r>
      <w:r>
        <w:rPr>
          <w:rFonts w:ascii="Times New Roman" w:cs="Times New Roman" w:eastAsia="Times New Roman" w:hAnsi="Times New Roman"/>
          <w:sz w:val="18"/>
          <w:szCs w:val="18"/>
          <w:color w:val="auto"/>
        </w:rPr>
        <w:t>”) equity awards in connection with the Registrant’s separation from Middleby.</w:t>
      </w:r>
    </w:p>
    <w:p>
      <w:pPr>
        <w:sectPr>
          <w:pgSz w:w="11900" w:h="16838" w:orient="portrait"/>
          <w:cols w:equalWidth="0" w:num="1">
            <w:col w:w="10840"/>
          </w:cols>
          <w:pgMar w:left="500" w:top="264" w:right="559" w:bottom="1440" w:gutter="0" w:footer="0" w:header="0"/>
        </w:sectPr>
      </w:pPr>
    </w:p>
    <w:bookmarkStart w:id="2" w:name="page3"/>
    <w:bookmarkEnd w:id="2"/>
    <w:p>
      <w:pPr>
        <w:jc w:val="center"/>
        <w:ind w:right="-25"/>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PART I</w:t>
      </w:r>
    </w:p>
    <w:p>
      <w:pPr>
        <w:spacing w:after="0" w:line="220"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7"/>
          <w:szCs w:val="17"/>
          <w:b w:val="1"/>
          <w:bCs w:val="1"/>
          <w:color w:val="auto"/>
        </w:rPr>
        <w:t>INFORMATION REQUIRED IN THE SECTION 10(a) PROSPECTUS</w:t>
      </w:r>
    </w:p>
    <w:p>
      <w:pPr>
        <w:sectPr>
          <w:pgSz w:w="11900" w:h="16838" w:orient="portrait"/>
          <w:cols w:equalWidth="0" w:num="1">
            <w:col w:w="10866"/>
          </w:cols>
          <w:pgMar w:left="494" w:top="264" w:right="539" w:bottom="1440" w:gutter="0" w:footer="0" w:header="0"/>
        </w:sectPr>
      </w:pPr>
    </w:p>
    <w:p>
      <w:pPr>
        <w:spacing w:after="0" w:line="259"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Item 1.</w:t>
      </w:r>
    </w:p>
    <w:p>
      <w:pPr>
        <w:spacing w:after="0" w:line="138" w:lineRule="exact"/>
        <w:rPr>
          <w:sz w:val="20"/>
          <w:szCs w:val="20"/>
          <w:color w:val="auto"/>
        </w:rPr>
      </w:pPr>
    </w:p>
    <w:p>
      <w:pPr>
        <w:ind w:left="6"/>
        <w:spacing w:after="0"/>
        <w:rPr>
          <w:sz w:val="20"/>
          <w:szCs w:val="20"/>
          <w:color w:val="auto"/>
        </w:rPr>
      </w:pPr>
      <w:r>
        <w:rPr>
          <w:rFonts w:ascii="Times New Roman" w:cs="Times New Roman" w:eastAsia="Times New Roman" w:hAnsi="Times New Roman"/>
          <w:sz w:val="17"/>
          <w:szCs w:val="17"/>
          <w:b w:val="1"/>
          <w:bCs w:val="1"/>
          <w:color w:val="auto"/>
        </w:rPr>
        <w:t>Item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119380</wp:posOffset>
            </wp:positionV>
            <wp:extent cx="7550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50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Plan Information*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Registrant Information and Employee Plan Annual Information*</w:t>
      </w:r>
    </w:p>
    <w:p>
      <w:pPr>
        <w:spacing w:after="0" w:line="200" w:lineRule="exact"/>
        <w:rPr>
          <w:sz w:val="20"/>
          <w:szCs w:val="20"/>
          <w:color w:val="auto"/>
        </w:rPr>
      </w:pPr>
    </w:p>
    <w:p>
      <w:pPr>
        <w:sectPr>
          <w:pgSz w:w="11900" w:h="16838" w:orient="portrait"/>
          <w:cols w:equalWidth="0" w:num="2">
            <w:col w:w="526" w:space="440"/>
            <w:col w:w="9900"/>
          </w:cols>
          <w:pgMar w:left="494" w:top="264" w:right="539" w:bottom="1440" w:gutter="0" w:footer="0" w:header="0"/>
          <w:type w:val="continuous"/>
        </w:sectPr>
      </w:pPr>
    </w:p>
    <w:p>
      <w:pPr>
        <w:spacing w:after="0" w:line="9" w:lineRule="exact"/>
        <w:rPr>
          <w:sz w:val="20"/>
          <w:szCs w:val="20"/>
          <w:color w:val="auto"/>
        </w:rPr>
      </w:pPr>
    </w:p>
    <w:p>
      <w:pPr>
        <w:ind w:left="6" w:right="60" w:hanging="6"/>
        <w:spacing w:after="0" w:line="255" w:lineRule="auto"/>
        <w:tabs>
          <w:tab w:leader="none" w:pos="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documents containing the information specified in this Part I of this Registration Statement will be sent or given to participants in the 2026 LTIP as specified by Rule 428(b)(1)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Such documents need not be filed with the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either as part of this Registration Statement or as prospectuses or prospectus supplements pursuant to Rule 424 under the Securities Act. These documents and the documents incorporated by reference in this Registration Statement pursuant to Item 3 of Part II of this Registration Statement, taken together, constitute a prospectus that meets the requirements of Section 10(a) of the Securities Act.</w:t>
      </w:r>
    </w:p>
    <w:p>
      <w:pPr>
        <w:spacing w:after="0" w:line="393" w:lineRule="exact"/>
        <w:rPr>
          <w:sz w:val="20"/>
          <w:szCs w:val="20"/>
          <w:color w:val="auto"/>
        </w:rPr>
      </w:pPr>
    </w:p>
    <w:p>
      <w:pPr>
        <w:jc w:val="center"/>
        <w:ind w:right="-45"/>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6"/>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47" w:lineRule="exact"/>
        <w:rPr>
          <w:sz w:val="20"/>
          <w:szCs w:val="20"/>
          <w:color w:val="auto"/>
        </w:rPr>
      </w:pPr>
    </w:p>
    <w:p>
      <w:pPr>
        <w:ind w:left="6"/>
        <w:spacing w:after="0"/>
        <w:tabs>
          <w:tab w:leader="none" w:pos="946"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Incorporation of Documents by Reference.</w:t>
      </w:r>
    </w:p>
    <w:p>
      <w:pPr>
        <w:spacing w:after="0" w:line="11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The following documents filed with the Commission by the Registrant are incorporated by reference in this Registration Statement:</w:t>
      </w:r>
    </w:p>
    <w:p>
      <w:pPr>
        <w:spacing w:after="0" w:line="127" w:lineRule="exact"/>
        <w:rPr>
          <w:sz w:val="20"/>
          <w:szCs w:val="20"/>
          <w:color w:val="auto"/>
        </w:rPr>
      </w:pPr>
    </w:p>
    <w:p>
      <w:pPr>
        <w:ind w:left="426" w:right="560" w:hanging="426"/>
        <w:spacing w:after="0" w:line="308" w:lineRule="auto"/>
        <w:tabs>
          <w:tab w:leader="none" w:pos="42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Registrant’s effective Registration Statement on </w:t>
      </w:r>
      <w:hyperlink r:id="rId19">
        <w:r>
          <w:rPr>
            <w:rFonts w:ascii="Times New Roman" w:cs="Times New Roman" w:eastAsia="Times New Roman" w:hAnsi="Times New Roman"/>
            <w:sz w:val="17"/>
            <w:szCs w:val="17"/>
            <w:u w:val="single" w:color="auto"/>
            <w:color w:val="0000EE"/>
          </w:rPr>
          <w:t>Form 10</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 xml:space="preserve">(File No. 001-43265) initially filed with the Commission on May 4, 2026, as amended by </w:t>
      </w:r>
      <w:hyperlink r:id="rId20">
        <w:r>
          <w:rPr>
            <w:rFonts w:ascii="Times New Roman" w:cs="Times New Roman" w:eastAsia="Times New Roman" w:hAnsi="Times New Roman"/>
            <w:sz w:val="17"/>
            <w:szCs w:val="17"/>
            <w:u w:val="single" w:color="auto"/>
            <w:color w:val="0000EE"/>
          </w:rPr>
          <w:t>Amendment No. 1</w:t>
        </w:r>
        <w:r>
          <w:rPr>
            <w:rFonts w:ascii="Times New Roman" w:cs="Times New Roman" w:eastAsia="Times New Roman" w:hAnsi="Times New Roman"/>
            <w:sz w:val="17"/>
            <w:szCs w:val="17"/>
            <w:u w:val="single" w:color="auto"/>
            <w:color w:val="auto"/>
          </w:rPr>
          <w:t xml:space="preserve"> </w:t>
        </w:r>
      </w:hyperlink>
      <w:r>
        <w:rPr>
          <w:rFonts w:ascii="Times New Roman" w:cs="Times New Roman" w:eastAsia="Times New Roman" w:hAnsi="Times New Roman"/>
          <w:sz w:val="17"/>
          <w:szCs w:val="17"/>
          <w:color w:val="auto"/>
        </w:rPr>
        <w:t>as filed with the Commission on May 27, 2026 (as so amended, the “</w:t>
      </w:r>
      <w:r>
        <w:rPr>
          <w:rFonts w:ascii="Times New Roman" w:cs="Times New Roman" w:eastAsia="Times New Roman" w:hAnsi="Times New Roman"/>
          <w:sz w:val="17"/>
          <w:szCs w:val="17"/>
          <w:u w:val="single" w:color="auto"/>
          <w:color w:val="auto"/>
        </w:rPr>
        <w:t>Form 10 Registration Statement</w:t>
      </w:r>
      <w:r>
        <w:rPr>
          <w:rFonts w:ascii="Times New Roman" w:cs="Times New Roman" w:eastAsia="Times New Roman" w:hAnsi="Times New Roman"/>
          <w:sz w:val="17"/>
          <w:szCs w:val="17"/>
          <w:color w:val="auto"/>
        </w:rPr>
        <w:t>”);</w:t>
      </w:r>
    </w:p>
    <w:p>
      <w:pPr>
        <w:spacing w:after="0" w:line="45" w:lineRule="exact"/>
        <w:rPr>
          <w:rFonts w:ascii="Times New Roman" w:cs="Times New Roman" w:eastAsia="Times New Roman" w:hAnsi="Times New Roman"/>
          <w:sz w:val="17"/>
          <w:szCs w:val="17"/>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Registrant’s Current Reports on Form 8-K filed with the Commission on </w:t>
      </w:r>
      <w:hyperlink r:id="rId21">
        <w:r>
          <w:rPr>
            <w:rFonts w:ascii="Times New Roman" w:cs="Times New Roman" w:eastAsia="Times New Roman" w:hAnsi="Times New Roman"/>
            <w:sz w:val="18"/>
            <w:szCs w:val="18"/>
            <w:u w:val="single" w:color="auto"/>
            <w:color w:val="0000EE"/>
          </w:rPr>
          <w:t>June 22,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w:t>
      </w:r>
      <w:hyperlink r:id="rId22">
        <w:r>
          <w:rPr>
            <w:rFonts w:ascii="Times New Roman" w:cs="Times New Roman" w:eastAsia="Times New Roman" w:hAnsi="Times New Roman"/>
            <w:sz w:val="18"/>
            <w:szCs w:val="18"/>
            <w:u w:val="single" w:color="auto"/>
            <w:color w:val="0000EE"/>
          </w:rPr>
          <w:t>June 29, 2026</w:t>
        </w:r>
      </w:hyperlink>
      <w:r>
        <w:rPr>
          <w:rFonts w:ascii="Times New Roman" w:cs="Times New Roman" w:eastAsia="Times New Roman" w:hAnsi="Times New Roman"/>
          <w:sz w:val="18"/>
          <w:szCs w:val="18"/>
          <w:color w:val="auto"/>
        </w:rPr>
        <w:t>; and</w:t>
      </w:r>
    </w:p>
    <w:p>
      <w:pPr>
        <w:spacing w:after="0" w:line="126" w:lineRule="exact"/>
        <w:rPr>
          <w:rFonts w:ascii="Times New Roman" w:cs="Times New Roman" w:eastAsia="Times New Roman" w:hAnsi="Times New Roman"/>
          <w:sz w:val="18"/>
          <w:szCs w:val="18"/>
          <w:color w:val="auto"/>
        </w:rPr>
      </w:pPr>
    </w:p>
    <w:p>
      <w:pPr>
        <w:ind w:left="426" w:right="120" w:hanging="426"/>
        <w:spacing w:after="0" w:line="308" w:lineRule="auto"/>
        <w:tabs>
          <w:tab w:leader="none" w:pos="42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description of the Common Stock included in the section titled “</w:t>
      </w:r>
      <w:hyperlink r:id="rId23">
        <w:r>
          <w:rPr>
            <w:rFonts w:ascii="Times New Roman" w:cs="Times New Roman" w:eastAsia="Times New Roman" w:hAnsi="Times New Roman"/>
            <w:sz w:val="17"/>
            <w:szCs w:val="17"/>
            <w:u w:val="single" w:color="auto"/>
            <w:color w:val="0000EE"/>
          </w:rPr>
          <w:t>Description of Capital Stock</w:t>
        </w:r>
      </w:hyperlink>
      <w:r>
        <w:rPr>
          <w:rFonts w:ascii="Times New Roman" w:cs="Times New Roman" w:eastAsia="Times New Roman" w:hAnsi="Times New Roman"/>
          <w:sz w:val="17"/>
          <w:szCs w:val="17"/>
          <w:color w:val="auto"/>
        </w:rPr>
        <w:t>” in the Registrant’s Information Statement filed as Exhibit 99.1 to the Form 10 Registration Statement, including any amendment or report filed for the purpose of updating such description.</w:t>
      </w:r>
    </w:p>
    <w:p>
      <w:pPr>
        <w:spacing w:after="0" w:line="139" w:lineRule="exact"/>
        <w:rPr>
          <w:rFonts w:ascii="Times New Roman" w:cs="Times New Roman" w:eastAsia="Times New Roman" w:hAnsi="Times New Roman"/>
          <w:sz w:val="18"/>
          <w:szCs w:val="18"/>
          <w:color w:val="auto"/>
        </w:rPr>
      </w:pPr>
    </w:p>
    <w:p>
      <w:pPr>
        <w:ind w:left="6" w:firstLine="436"/>
        <w:spacing w:after="0" w:line="252" w:lineRule="auto"/>
        <w:rPr>
          <w:sz w:val="20"/>
          <w:szCs w:val="20"/>
          <w:color w:val="auto"/>
        </w:rPr>
      </w:pPr>
      <w:r>
        <w:rPr>
          <w:rFonts w:ascii="Times New Roman" w:cs="Times New Roman" w:eastAsia="Times New Roman" w:hAnsi="Times New Roman"/>
          <w:sz w:val="18"/>
          <w:szCs w:val="18"/>
          <w:color w:val="auto"/>
        </w:rPr>
        <w:t>All documents filed by the Registrant with the Commission pursuant to Sections 13(a), 13(c), 14 and 15(d) of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after the date of this Registration Statement and prior to the filing of a post-effective amendment to this Registration Statement which indicates that all securities offered hereby have been sold or which deregisters all securities then remaining unsold, shall be deemed to be incorporated by reference into this Registration Statement and to be a part hereof from the respective dates of filing of such documents (such documents, and the documents enumerated above, are hereinafter referred to as “</w:t>
      </w:r>
      <w:r>
        <w:rPr>
          <w:rFonts w:ascii="Times New Roman" w:cs="Times New Roman" w:eastAsia="Times New Roman" w:hAnsi="Times New Roman"/>
          <w:sz w:val="18"/>
          <w:szCs w:val="18"/>
          <w:u w:val="single" w:color="auto"/>
          <w:color w:val="auto"/>
        </w:rPr>
        <w:t>Incorporated Documents</w:t>
      </w:r>
      <w:r>
        <w:rPr>
          <w:rFonts w:ascii="Times New Roman" w:cs="Times New Roman" w:eastAsia="Times New Roman" w:hAnsi="Times New Roman"/>
          <w:sz w:val="18"/>
          <w:szCs w:val="18"/>
          <w:color w:val="auto"/>
        </w:rPr>
        <w:t>”). In no event, however, unless stated otherwise in the applicable report, will any information that the Registrant discloses under Item 2.02 or 7.01 of any Current Report on Form 8-K that the Registrant may from time to time furnish to the Commission be incorporated by reference into, or otherwise become a part of, this Registration Statement.</w:t>
      </w:r>
    </w:p>
    <w:p>
      <w:pPr>
        <w:spacing w:after="0" w:line="185" w:lineRule="exact"/>
        <w:rPr>
          <w:rFonts w:ascii="Times New Roman" w:cs="Times New Roman" w:eastAsia="Times New Roman" w:hAnsi="Times New Roman"/>
          <w:sz w:val="18"/>
          <w:szCs w:val="18"/>
          <w:color w:val="auto"/>
        </w:rPr>
      </w:pPr>
    </w:p>
    <w:p>
      <w:pPr>
        <w:ind w:left="6" w:right="120" w:firstLine="436"/>
        <w:spacing w:after="0" w:line="285" w:lineRule="auto"/>
        <w:rPr>
          <w:sz w:val="20"/>
          <w:szCs w:val="20"/>
          <w:color w:val="auto"/>
        </w:rPr>
      </w:pPr>
      <w:r>
        <w:rPr>
          <w:rFonts w:ascii="Times New Roman" w:cs="Times New Roman" w:eastAsia="Times New Roman" w:hAnsi="Times New Roman"/>
          <w:sz w:val="17"/>
          <w:szCs w:val="17"/>
          <w:color w:val="auto"/>
        </w:rPr>
        <w:t>Any statement contained in an Incorporated Document shall be deemed to be modified or superseded for purposes of this Registration Statement to the extent that a statement contained herein or in any other subsequently filed Incorporated Document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0866"/>
          </w:cols>
          <w:pgMar w:left="494" w:top="264" w:right="53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4. Description of Securities.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Interests of Named Experts and Counsel.</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Indemnification of Directors and Officers.</w:t>
      </w:r>
    </w:p>
    <w:p>
      <w:pPr>
        <w:spacing w:after="0" w:line="118"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Section 145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authorizes a court to award or a corporation’s board of directors to grant indemnity to directors and officers in terms sufficiently broad to permit such indemnification under some circumstances for liabilities arising under the Securities Act and to provide for the reimbursement of expenses incurred.</w:t>
      </w:r>
    </w:p>
    <w:p>
      <w:pPr>
        <w:spacing w:after="0" w:line="177" w:lineRule="exact"/>
        <w:rPr>
          <w:sz w:val="20"/>
          <w:szCs w:val="20"/>
          <w:color w:val="auto"/>
        </w:rPr>
      </w:pPr>
    </w:p>
    <w:p>
      <w:pPr>
        <w:ind w:firstLine="436"/>
        <w:spacing w:after="0" w:line="251" w:lineRule="auto"/>
        <w:rPr>
          <w:sz w:val="20"/>
          <w:szCs w:val="20"/>
          <w:color w:val="auto"/>
        </w:rPr>
      </w:pPr>
      <w:r>
        <w:rPr>
          <w:rFonts w:ascii="Times New Roman" w:cs="Times New Roman" w:eastAsia="Times New Roman" w:hAnsi="Times New Roman"/>
          <w:sz w:val="18"/>
          <w:szCs w:val="18"/>
          <w:color w:val="auto"/>
        </w:rPr>
        <w:t>As permitted by Delaware law, Article 8 of the Registrant’s Amended and Restated Certificate of Incorporation (the “Charter”), a copy of which is filed as Exhibit 4.1 hereto and incorporated herein by reference, provides for indemnification for the Registrant’s directors and officers to the fullest extent permitted by law, which will include payment of expenses incurred upon receipt of an undertaking by the person indemnified to repay such payments if it is adjudicated that such person is not entitled to indemnification under the law. As permitted by Section 102(b)(7) of the DGCL, Article 9 of the Charter provides that no director will be personally liable to the Registrant or its stockholders for monetary damages for breach of fiduciary duty by such director as a director; provided, however, that the Charter does not eliminate or limit the liability of a director (except to the extent provided by applicable law) (i) for any breach of the director’s duty of loyalty to the Registrant or its stockholders, (ii) for acts or omissions not in good faith or which involve intentional misconduct or a knowing violation of law, (iii) under Section 174 of the DGCL or (iv) for any transaction from which the director derived an improper personal benefit.</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foregoing statements are subject to the detailed provisions of the DGCL referenced herein and the full text of the Charter.</w:t>
      </w:r>
    </w:p>
    <w:p>
      <w:pPr>
        <w:spacing w:after="0" w:line="220"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The Registrant will maintain a policy insuring itself, its subsidiaries and their respective directors and officers, to the extent they may be required or permitted to indemnify such officers or directors, against certain liabilities arising from acts or omissions in the discharge of their duties that they will become legally obligated to pay.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Exemption from Registration Claimed.</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24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4" w:lineRule="exact"/>
        <w:rPr>
          <w:sz w:val="20"/>
          <w:szCs w:val="20"/>
          <w:color w:val="auto"/>
        </w:rPr>
      </w:pPr>
    </w:p>
    <w:p>
      <w:pPr>
        <w:ind w:left="60"/>
        <w:spacing w:after="0"/>
        <w:tabs>
          <w:tab w:leader="none" w:pos="740" w:val="left"/>
        </w:tabs>
        <w:rPr>
          <w:sz w:val="20"/>
          <w:szCs w:val="20"/>
          <w:color w:val="auto"/>
        </w:rPr>
      </w:pPr>
      <w:r>
        <w:rPr>
          <w:rFonts w:ascii="Times New Roman" w:cs="Times New Roman" w:eastAsia="Times New Roman" w:hAnsi="Times New Roman"/>
          <w:sz w:val="14"/>
          <w:szCs w:val="14"/>
          <w:b w:val="1"/>
          <w:bCs w:val="1"/>
          <w:u w:val="single" w:color="auto"/>
          <w:color w:val="auto"/>
        </w:rPr>
        <w:t>Number</w:t>
        <w:tab/>
        <w:t>Description</w:t>
      </w:r>
    </w:p>
    <w:p>
      <w:pPr>
        <w:spacing w:after="0" w:line="9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4.1</w:t>
      </w:r>
      <w:r>
        <w:rPr>
          <w:sz w:val="20"/>
          <w:szCs w:val="20"/>
          <w:color w:val="auto"/>
        </w:rPr>
        <w:tab/>
      </w:r>
      <w:r>
        <w:rPr>
          <w:rFonts w:ascii="Times New Roman" w:cs="Times New Roman" w:eastAsia="Times New Roman" w:hAnsi="Times New Roman"/>
          <w:sz w:val="17"/>
          <w:szCs w:val="17"/>
          <w:u w:val="single" w:color="auto"/>
          <w:color w:val="0000EE"/>
        </w:rPr>
        <w:t>Amended and Restated Certificate of Incorporation of Midera Food Processing, Inc. (effective as of July 2, 2026)</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4.2</w:t>
      </w:r>
      <w:r>
        <w:rPr>
          <w:sz w:val="20"/>
          <w:szCs w:val="20"/>
          <w:color w:val="auto"/>
        </w:rPr>
        <w:tab/>
      </w:r>
      <w:r>
        <w:rPr>
          <w:rFonts w:ascii="Times New Roman" w:cs="Times New Roman" w:eastAsia="Times New Roman" w:hAnsi="Times New Roman"/>
          <w:sz w:val="17"/>
          <w:szCs w:val="17"/>
          <w:u w:val="single" w:color="auto"/>
          <w:color w:val="0000EE"/>
        </w:rPr>
        <w:t>Amended and Restated Bylaws of Midera Food Processing, Inc. (effective as of July 2, 2026)</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4.3</w:t>
      </w:r>
      <w:r>
        <w:rPr>
          <w:sz w:val="20"/>
          <w:szCs w:val="20"/>
          <w:color w:val="auto"/>
        </w:rPr>
        <w:tab/>
      </w:r>
      <w:r>
        <w:rPr>
          <w:rFonts w:ascii="Times New Roman" w:cs="Times New Roman" w:eastAsia="Times New Roman" w:hAnsi="Times New Roman"/>
          <w:sz w:val="17"/>
          <w:szCs w:val="17"/>
          <w:u w:val="single" w:color="auto"/>
          <w:color w:val="0000EE"/>
        </w:rPr>
        <w:t>The Midera Food Processing, Inc. 2026 Long-Term Incentive Plan</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5.1</w:t>
      </w:r>
      <w:r>
        <w:rPr>
          <w:sz w:val="20"/>
          <w:szCs w:val="20"/>
          <w:color w:val="auto"/>
        </w:rPr>
        <w:tab/>
      </w:r>
      <w:r>
        <w:rPr>
          <w:rFonts w:ascii="Times New Roman" w:cs="Times New Roman" w:eastAsia="Times New Roman" w:hAnsi="Times New Roman"/>
          <w:sz w:val="17"/>
          <w:szCs w:val="17"/>
          <w:u w:val="single" w:color="auto"/>
          <w:color w:val="0000EE"/>
        </w:rPr>
        <w:t>Opinion of Skadden, Arps, Slate, Meagher &amp; Flom LLP</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23.1</w:t>
      </w:r>
      <w:r>
        <w:rPr>
          <w:sz w:val="20"/>
          <w:szCs w:val="20"/>
          <w:color w:val="auto"/>
        </w:rPr>
        <w:tab/>
      </w:r>
      <w:r>
        <w:rPr>
          <w:rFonts w:ascii="Times New Roman" w:cs="Times New Roman" w:eastAsia="Times New Roman" w:hAnsi="Times New Roman"/>
          <w:sz w:val="17"/>
          <w:szCs w:val="17"/>
          <w:u w:val="single" w:color="auto"/>
          <w:color w:val="0000EE"/>
        </w:rPr>
        <w:t>Consent of Ernst &amp; Young LLP</w:t>
      </w:r>
    </w:p>
    <w:p>
      <w:pPr>
        <w:sectPr>
          <w:pgSz w:w="11900" w:h="16838" w:orient="portrait"/>
          <w:cols w:equalWidth="0" w:num="1">
            <w:col w:w="10860"/>
          </w:cols>
          <w:pgMar w:left="500" w:top="264" w:right="539" w:bottom="1440" w:gutter="0" w:footer="0" w:header="0"/>
        </w:sectPr>
      </w:pPr>
    </w:p>
    <w:bookmarkStart w:id="4" w:name="page5"/>
    <w:bookmarkEnd w:id="4"/>
    <w:p>
      <w:pPr>
        <w:spacing w:after="0"/>
        <w:tabs>
          <w:tab w:leader="none" w:pos="74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23.2</w:t>
      </w:r>
      <w:r>
        <w:rPr>
          <w:sz w:val="20"/>
          <w:szCs w:val="20"/>
          <w:color w:val="auto"/>
        </w:rPr>
        <w:tab/>
      </w:r>
      <w:r>
        <w:rPr>
          <w:rFonts w:ascii="Times New Roman" w:cs="Times New Roman" w:eastAsia="Times New Roman" w:hAnsi="Times New Roman"/>
          <w:sz w:val="17"/>
          <w:szCs w:val="17"/>
          <w:u w:val="single" w:color="auto"/>
          <w:color w:val="0000EE"/>
        </w:rPr>
        <w:t>Consent of Skadden, Arps, Slate, Meagher &amp; Flom LLP (included in Exhibit 5.1)</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24.1</w:t>
      </w:r>
      <w:r>
        <w:rPr>
          <w:sz w:val="20"/>
          <w:szCs w:val="20"/>
          <w:color w:val="auto"/>
        </w:rPr>
        <w:tab/>
      </w:r>
      <w:r>
        <w:rPr>
          <w:rFonts w:ascii="Times New Roman" w:cs="Times New Roman" w:eastAsia="Times New Roman" w:hAnsi="Times New Roman"/>
          <w:sz w:val="17"/>
          <w:szCs w:val="17"/>
          <w:u w:val="single" w:color="auto"/>
          <w:color w:val="0000EE"/>
        </w:rPr>
        <w:t>Power of attorney (included on the signature page hereto)</w:t>
      </w:r>
    </w:p>
    <w:p>
      <w:pPr>
        <w:spacing w:after="0" w:line="114"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107.1</w:t>
      </w:r>
      <w:r>
        <w:rPr>
          <w:sz w:val="20"/>
          <w:szCs w:val="20"/>
          <w:color w:val="auto"/>
        </w:rPr>
        <w:tab/>
      </w:r>
      <w:r>
        <w:rPr>
          <w:rFonts w:ascii="Times New Roman" w:cs="Times New Roman" w:eastAsia="Times New Roman" w:hAnsi="Times New Roman"/>
          <w:sz w:val="17"/>
          <w:szCs w:val="17"/>
          <w:u w:val="single" w:color="auto"/>
          <w:color w:val="0000EE"/>
        </w:rPr>
        <w:t>Filing Fee Table</w:t>
      </w:r>
    </w:p>
    <w:p>
      <w:pPr>
        <w:spacing w:after="0" w:line="363"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Undertakings.</w:t>
      </w:r>
    </w:p>
    <w:p>
      <w:pPr>
        <w:spacing w:after="0" w:line="131" w:lineRule="exact"/>
        <w:rPr>
          <w:sz w:val="20"/>
          <w:szCs w:val="20"/>
          <w:color w:val="auto"/>
        </w:rPr>
      </w:pPr>
    </w:p>
    <w:p>
      <w:pPr>
        <w:ind w:left="1400" w:hanging="431"/>
        <w:spacing w:after="0"/>
        <w:tabs>
          <w:tab w:leader="none" w:pos="14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Registrant hereby undertakes:</w:t>
      </w:r>
    </w:p>
    <w:p>
      <w:pPr>
        <w:spacing w:after="0" w:line="126" w:lineRule="exact"/>
        <w:rPr>
          <w:rFonts w:ascii="Times New Roman" w:cs="Times New Roman" w:eastAsia="Times New Roman" w:hAnsi="Times New Roman"/>
          <w:sz w:val="18"/>
          <w:szCs w:val="18"/>
          <w:color w:val="auto"/>
        </w:rPr>
      </w:pPr>
    </w:p>
    <w:p>
      <w:pPr>
        <w:ind w:left="1940" w:hanging="530"/>
        <w:spacing w:after="0"/>
        <w:tabs>
          <w:tab w:leader="none" w:pos="1940" w:val="left"/>
        </w:tabs>
        <w:numPr>
          <w:ilvl w:val="1"/>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138" w:lineRule="exact"/>
        <w:rPr>
          <w:rFonts w:ascii="Times New Roman" w:cs="Times New Roman" w:eastAsia="Times New Roman" w:hAnsi="Times New Roman"/>
          <w:sz w:val="17"/>
          <w:szCs w:val="17"/>
          <w:color w:val="auto"/>
        </w:rPr>
      </w:pPr>
    </w:p>
    <w:p>
      <w:pPr>
        <w:ind w:left="2380" w:hanging="436"/>
        <w:spacing w:after="0"/>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prospectus required by section 10(a)(3) of the Securities Act;</w:t>
      </w:r>
    </w:p>
    <w:p>
      <w:pPr>
        <w:spacing w:after="0" w:line="126" w:lineRule="exact"/>
        <w:rPr>
          <w:rFonts w:ascii="Times New Roman" w:cs="Times New Roman" w:eastAsia="Times New Roman" w:hAnsi="Times New Roman"/>
          <w:sz w:val="18"/>
          <w:szCs w:val="18"/>
          <w:color w:val="auto"/>
        </w:rPr>
      </w:pPr>
    </w:p>
    <w:p>
      <w:pPr>
        <w:ind w:left="2380" w:right="20" w:hanging="436"/>
        <w:spacing w:after="0" w:line="252" w:lineRule="auto"/>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this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91" w:lineRule="exact"/>
        <w:rPr>
          <w:rFonts w:ascii="Times New Roman" w:cs="Times New Roman" w:eastAsia="Times New Roman" w:hAnsi="Times New Roman"/>
          <w:sz w:val="18"/>
          <w:szCs w:val="18"/>
          <w:color w:val="auto"/>
        </w:rPr>
      </w:pPr>
    </w:p>
    <w:p>
      <w:pPr>
        <w:ind w:left="2380" w:hanging="436"/>
        <w:spacing w:after="0" w:line="277" w:lineRule="auto"/>
        <w:tabs>
          <w:tab w:leader="none" w:pos="238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161" w:lineRule="exact"/>
        <w:rPr>
          <w:sz w:val="20"/>
          <w:szCs w:val="20"/>
          <w:color w:val="auto"/>
        </w:rPr>
      </w:pPr>
    </w:p>
    <w:p>
      <w:pPr>
        <w:ind w:right="500"/>
        <w:spacing w:after="0" w:line="263" w:lineRule="auto"/>
        <w:rPr>
          <w:sz w:val="20"/>
          <w:szCs w:val="20"/>
          <w:color w:val="auto"/>
        </w:rPr>
      </w:pP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paragraphs (a)(1)(i) and (a)(1)(ii) of this section do not apply if the information required to be included in a post-effective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amendment by those paragraphs is contained in reports filed with or furnished to the Commission by the Registrant pursuant to Section 13 or Section 15(d) of the Exchange Act that are incorporated by reference in this Registration Statement.</w:t>
      </w:r>
    </w:p>
    <w:p>
      <w:pPr>
        <w:spacing w:after="0" w:line="83" w:lineRule="exact"/>
        <w:rPr>
          <w:sz w:val="20"/>
          <w:szCs w:val="20"/>
          <w:color w:val="auto"/>
        </w:rPr>
      </w:pPr>
    </w:p>
    <w:p>
      <w:pPr>
        <w:ind w:left="1940" w:right="20" w:hanging="530"/>
        <w:spacing w:after="0" w:line="262"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pacing w:after="0" w:line="83" w:lineRule="exact"/>
        <w:rPr>
          <w:rFonts w:ascii="Times New Roman" w:cs="Times New Roman" w:eastAsia="Times New Roman" w:hAnsi="Times New Roman"/>
          <w:sz w:val="18"/>
          <w:szCs w:val="18"/>
          <w:color w:val="auto"/>
        </w:rPr>
      </w:pPr>
    </w:p>
    <w:p>
      <w:pPr>
        <w:ind w:left="1940" w:right="320" w:hanging="530"/>
        <w:spacing w:after="0" w:line="277" w:lineRule="auto"/>
        <w:tabs>
          <w:tab w:leader="none" w:pos="194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remove from registration by means of a post-effective amendment any of the securities being registered which remain unsold at the termination of the offering.</w:t>
      </w:r>
    </w:p>
    <w:p>
      <w:pPr>
        <w:spacing w:after="0" w:line="69" w:lineRule="exact"/>
        <w:rPr>
          <w:rFonts w:ascii="Times New Roman" w:cs="Times New Roman" w:eastAsia="Times New Roman" w:hAnsi="Times New Roman"/>
          <w:sz w:val="18"/>
          <w:szCs w:val="18"/>
          <w:color w:val="auto"/>
        </w:rPr>
      </w:pPr>
    </w:p>
    <w:p>
      <w:pPr>
        <w:ind w:left="1400" w:right="60" w:hanging="431"/>
        <w:spacing w:after="0" w:line="255" w:lineRule="auto"/>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Registrant hereby undertakes that, for purposes of determining any liability under the Securities Act, each filing of the Registrant’s annual report pursuant to Section 13(a) or Section 15(d) of the Exchange Act (and, where applicable, each filing of an employee benefit plan’s annual report pursuant to Section 15(d) of the Exchange Act) that is incorporated by reference in this Registration Statement shall be deemed to be a new Registration Statement relating to the securities offered therein, and the offering of such securities at that time shall be deemed to be the initial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offering thereof.</w:t>
      </w:r>
    </w:p>
    <w:p>
      <w:pPr>
        <w:sectPr>
          <w:pgSz w:w="11900" w:h="16838" w:orient="portrait"/>
          <w:cols w:equalWidth="0" w:num="1">
            <w:col w:w="10880"/>
          </w:cols>
          <w:pgMar w:left="500" w:top="268" w:right="519" w:bottom="1440" w:gutter="0" w:footer="0" w:header="0"/>
        </w:sectPr>
      </w:pPr>
    </w:p>
    <w:bookmarkStart w:id="5" w:name="page6"/>
    <w:bookmarkEnd w:id="5"/>
    <w:p>
      <w:pPr>
        <w:ind w:left="460" w:hanging="431"/>
        <w:spacing w:after="0" w:line="251" w:lineRule="auto"/>
        <w:tabs>
          <w:tab w:leader="none" w:pos="4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ectPr>
          <w:pgSz w:w="11900" w:h="16838" w:orient="portrait"/>
          <w:cols w:equalWidth="0" w:num="1">
            <w:col w:w="9800"/>
          </w:cols>
          <w:pgMar w:left="1440" w:top="268" w:right="65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ind w:right="140" w:firstLine="436"/>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Rosemont, state of Illinois, on this 2nd day of July,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Amy A.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Amy A. Campbell</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firstLine="436"/>
        <w:spacing w:after="0" w:line="270" w:lineRule="auto"/>
        <w:rPr>
          <w:sz w:val="20"/>
          <w:szCs w:val="20"/>
          <w:color w:val="auto"/>
        </w:rPr>
      </w:pPr>
      <w:r>
        <w:rPr>
          <w:rFonts w:ascii="Times New Roman" w:cs="Times New Roman" w:eastAsia="Times New Roman" w:hAnsi="Times New Roman"/>
          <w:sz w:val="17"/>
          <w:szCs w:val="17"/>
          <w:color w:val="auto"/>
        </w:rPr>
        <w:t>KNOW ALL PERSONS BY THESE PRESENTS, that each person whose signature appears immediately below constitutes and appoints each of Amy A. Campbell and James J. Drake as his or her true and lawful attorney-in-fact and agent, acting alone with full power of substitution and resubstitution, for him or her and in his or her name, place and stead, in any and all capacities, to sign any and all amendments (including post-effective amendments) and exhibits to this Registration Statement,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he or she might or could do in person, hereby ratifying and confirming all that each said attorney-in-fact and agent, or his or her substitute or substitutes, may lawfully do or cause to be done by virtue hereof.</w:t>
      </w:r>
    </w:p>
    <w:p>
      <w:pPr>
        <w:spacing w:after="0" w:line="170" w:lineRule="exact"/>
        <w:rPr>
          <w:sz w:val="20"/>
          <w:szCs w:val="20"/>
          <w:color w:val="auto"/>
        </w:rPr>
      </w:pPr>
    </w:p>
    <w:p>
      <w:pPr>
        <w:ind w:right="80" w:firstLine="436"/>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indicated on July 2, 2026.</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4"/>
                <w:szCs w:val="14"/>
                <w:b w:val="1"/>
                <w:bCs w:val="1"/>
                <w:color w:val="auto"/>
                <w:w w:val="99"/>
              </w:rPr>
              <w:t>Title</w:t>
            </w:r>
          </w:p>
        </w:tc>
      </w:tr>
      <w:tr>
        <w:trPr>
          <w:trHeight w:val="412"/>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Mark M. Salman</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26"/>
        </w:trPr>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Mark M. Salman</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422"/>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Amy A. Campbell</w:t>
            </w:r>
          </w:p>
        </w:tc>
        <w:tc>
          <w:tcPr>
            <w:tcW w:w="4300" w:type="dxa"/>
            <w:vAlign w:val="bottom"/>
          </w:tcPr>
          <w:p>
            <w:pPr>
              <w:jc w:val="center"/>
              <w:ind w:left="1033"/>
              <w:spacing w:after="0"/>
              <w:rPr>
                <w:sz w:val="20"/>
                <w:szCs w:val="20"/>
                <w:color w:val="auto"/>
              </w:rPr>
            </w:pPr>
            <w:r>
              <w:rPr>
                <w:rFonts w:ascii="Times New Roman" w:cs="Times New Roman" w:eastAsia="Times New Roman" w:hAnsi="Times New Roman"/>
                <w:sz w:val="18"/>
                <w:szCs w:val="18"/>
                <w:color w:val="auto"/>
                <w:w w:val="98"/>
              </w:rPr>
              <w:t>Chief Financial Officer</w:t>
            </w:r>
          </w:p>
        </w:tc>
      </w:tr>
      <w:tr>
        <w:trPr>
          <w:trHeight w:val="226"/>
        </w:trPr>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Amy A. Campbell</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8"/>
              </w:rPr>
              <w:t>(Principal Financial and Accounting Officer)</w:t>
            </w:r>
          </w:p>
        </w:tc>
      </w:tr>
      <w:tr>
        <w:trPr>
          <w:trHeight w:val="422"/>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Robert A. Nerbonne</w:t>
            </w:r>
          </w:p>
        </w:tc>
        <w:tc>
          <w:tcPr>
            <w:tcW w:w="4300" w:type="dxa"/>
            <w:vAlign w:val="bottom"/>
          </w:tcPr>
          <w:p>
            <w:pPr>
              <w:spacing w:after="0"/>
              <w:rPr>
                <w:sz w:val="24"/>
                <w:szCs w:val="24"/>
                <w:color w:val="auto"/>
              </w:rPr>
            </w:pPr>
          </w:p>
        </w:tc>
      </w:tr>
      <w:tr>
        <w:trPr>
          <w:trHeight w:val="226"/>
        </w:trPr>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Robert A. Nerbonne</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2"/>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James J. Drake</w:t>
            </w:r>
          </w:p>
        </w:tc>
        <w:tc>
          <w:tcPr>
            <w:tcW w:w="4300" w:type="dxa"/>
            <w:vAlign w:val="bottom"/>
          </w:tcPr>
          <w:p>
            <w:pPr>
              <w:spacing w:after="0"/>
              <w:rPr>
                <w:sz w:val="24"/>
                <w:szCs w:val="24"/>
                <w:color w:val="auto"/>
              </w:rPr>
            </w:pPr>
          </w:p>
        </w:tc>
      </w:tr>
      <w:tr>
        <w:trPr>
          <w:trHeight w:val="226"/>
        </w:trPr>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James J. Drake</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9"/>
              </w:rPr>
              <w:t>Director</w:t>
            </w:r>
          </w:p>
        </w:tc>
      </w:tr>
      <w:tr>
        <w:trPr>
          <w:trHeight w:val="422"/>
        </w:trPr>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Michael D. Thompson</w:t>
            </w:r>
          </w:p>
        </w:tc>
        <w:tc>
          <w:tcPr>
            <w:tcW w:w="4300" w:type="dxa"/>
            <w:vAlign w:val="bottom"/>
          </w:tcPr>
          <w:p>
            <w:pPr>
              <w:spacing w:after="0"/>
              <w:rPr>
                <w:sz w:val="24"/>
                <w:szCs w:val="24"/>
                <w:color w:val="auto"/>
              </w:rPr>
            </w:pPr>
          </w:p>
        </w:tc>
      </w:tr>
      <w:tr>
        <w:trPr>
          <w:trHeight w:val="226"/>
        </w:trPr>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Michael D. Thompson</w:t>
            </w:r>
          </w:p>
        </w:tc>
        <w:tc>
          <w:tcPr>
            <w:tcW w:w="4300" w:type="dxa"/>
            <w:vAlign w:val="bottom"/>
          </w:tcPr>
          <w:p>
            <w:pPr>
              <w:jc w:val="center"/>
              <w:ind w:left="1013"/>
              <w:spacing w:after="0"/>
              <w:rPr>
                <w:sz w:val="20"/>
                <w:szCs w:val="20"/>
                <w:color w:val="auto"/>
              </w:rPr>
            </w:pPr>
            <w:r>
              <w:rPr>
                <w:rFonts w:ascii="Times New Roman" w:cs="Times New Roman" w:eastAsia="Times New Roman" w:hAnsi="Times New Roman"/>
                <w:sz w:val="18"/>
                <w:szCs w:val="18"/>
                <w:color w:val="auto"/>
                <w:w w:val="99"/>
              </w:rPr>
              <w:t>Director</w:t>
            </w:r>
          </w:p>
        </w:tc>
      </w:tr>
    </w:tbl>
    <w:p>
      <w:pPr>
        <w:sectPr>
          <w:pgSz w:w="11900" w:h="16838" w:orient="portrait"/>
          <w:cols w:equalWidth="0" w:num="1">
            <w:col w:w="10840"/>
          </w:cols>
          <w:pgMar w:left="500" w:top="264" w:right="55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00" w:lineRule="exact"/>
        <w:rPr>
          <w:sz w:val="20"/>
          <w:szCs w:val="20"/>
          <w:color w:val="auto"/>
        </w:rPr>
      </w:pPr>
    </w:p>
    <w:p>
      <w:pPr>
        <w:spacing w:after="0" w:line="23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CERTIFICATE OF INCORPORATION OF</w:t>
      </w:r>
    </w:p>
    <w:p>
      <w:pPr>
        <w:spacing w:after="0" w:line="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202" w:lineRule="exact"/>
        <w:rPr>
          <w:sz w:val="20"/>
          <w:szCs w:val="20"/>
          <w:color w:val="auto"/>
        </w:rPr>
      </w:pPr>
    </w:p>
    <w:p>
      <w:pPr>
        <w:ind w:left="6" w:right="320"/>
        <w:spacing w:after="0" w:line="277" w:lineRule="auto"/>
        <w:rPr>
          <w:sz w:val="20"/>
          <w:szCs w:val="20"/>
          <w:color w:val="auto"/>
        </w:rPr>
      </w:pPr>
      <w:r>
        <w:rPr>
          <w:rFonts w:ascii="Times New Roman" w:cs="Times New Roman" w:eastAsia="Times New Roman" w:hAnsi="Times New Roman"/>
          <w:sz w:val="18"/>
          <w:szCs w:val="18"/>
          <w:color w:val="auto"/>
        </w:rPr>
        <w:t>Midera Food Processing, Inc. (the “</w:t>
      </w:r>
      <w:r>
        <w:rPr>
          <w:rFonts w:ascii="Times New Roman" w:cs="Times New Roman" w:eastAsia="Times New Roman" w:hAnsi="Times New Roman"/>
          <w:sz w:val="18"/>
          <w:szCs w:val="18"/>
          <w:u w:val="single" w:color="auto"/>
          <w:color w:val="auto"/>
        </w:rPr>
        <w:t>Corporation</w:t>
      </w:r>
      <w:r>
        <w:rPr>
          <w:rFonts w:ascii="Times New Roman" w:cs="Times New Roman" w:eastAsia="Times New Roman" w:hAnsi="Times New Roman"/>
          <w:sz w:val="18"/>
          <w:szCs w:val="18"/>
          <w:color w:val="auto"/>
        </w:rPr>
        <w:t>”), a corporation organized and existing under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does hereby certify as follows:</w:t>
      </w:r>
    </w:p>
    <w:p>
      <w:pPr>
        <w:spacing w:after="0" w:line="70" w:lineRule="exact"/>
        <w:rPr>
          <w:sz w:val="20"/>
          <w:szCs w:val="20"/>
          <w:color w:val="auto"/>
        </w:rPr>
      </w:pPr>
    </w:p>
    <w:p>
      <w:pPr>
        <w:jc w:val="both"/>
        <w:ind w:left="426" w:right="520" w:hanging="426"/>
        <w:spacing w:after="0" w:line="262" w:lineRule="auto"/>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Midera Food Processing, Inc. The Corporation was originally incorporated under the name Middleby Food Processing, Inc. The original certificate of incorporation of the Corporation was filed with the office of the Secretary of State of the State of Delaware on July 17, 2025.</w:t>
      </w:r>
    </w:p>
    <w:p>
      <w:pPr>
        <w:spacing w:after="0" w:line="83" w:lineRule="exact"/>
        <w:rPr>
          <w:rFonts w:ascii="Times New Roman" w:cs="Times New Roman" w:eastAsia="Times New Roman" w:hAnsi="Times New Roman"/>
          <w:sz w:val="18"/>
          <w:szCs w:val="18"/>
          <w:color w:val="auto"/>
        </w:rPr>
      </w:pPr>
    </w:p>
    <w:p>
      <w:pPr>
        <w:ind w:left="426" w:right="40" w:hanging="426"/>
        <w:spacing w:after="0" w:line="277" w:lineRule="auto"/>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Amended and Restated Certificate of Incorporation was duly adopted by the Board of Directors of the Corporation (the “</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and by the sole stockholder of the Corporation in accordance with Sections 228, 242 and 245 of the DGCL.</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text of the certificate of incorporation, as heretofore amended, is hereby amended and restated in its entirety as follows:</w:t>
      </w:r>
    </w:p>
    <w:p>
      <w:pPr>
        <w:spacing w:after="0" w:line="127" w:lineRule="exact"/>
        <w:rPr>
          <w:sz w:val="20"/>
          <w:szCs w:val="20"/>
          <w:color w:val="auto"/>
        </w:rPr>
      </w:pPr>
    </w:p>
    <w:p>
      <w:pPr>
        <w:ind w:left="426" w:hanging="426"/>
        <w:spacing w:after="0"/>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Corporation is Midera Food Processing, Inc.</w:t>
      </w:r>
    </w:p>
    <w:p>
      <w:pPr>
        <w:spacing w:after="0" w:line="126" w:lineRule="exact"/>
        <w:rPr>
          <w:rFonts w:ascii="Times New Roman" w:cs="Times New Roman" w:eastAsia="Times New Roman" w:hAnsi="Times New Roman"/>
          <w:sz w:val="18"/>
          <w:szCs w:val="18"/>
          <w:color w:val="auto"/>
        </w:rPr>
      </w:pPr>
    </w:p>
    <w:p>
      <w:pPr>
        <w:ind w:left="426" w:right="160" w:hanging="426"/>
        <w:spacing w:after="0" w:line="277"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address of the registered agent of the Corporation is Corporation Trust Center, 1209 Orange Street, Wilmington, Delaware 19801, County of New Castle. The registered agent at such address is The Corporation Trust Company.</w:t>
      </w:r>
    </w:p>
    <w:p>
      <w:pPr>
        <w:spacing w:after="0" w:line="69" w:lineRule="exact"/>
        <w:rPr>
          <w:rFonts w:ascii="Times New Roman" w:cs="Times New Roman" w:eastAsia="Times New Roman" w:hAnsi="Times New Roman"/>
          <w:sz w:val="18"/>
          <w:szCs w:val="18"/>
          <w:color w:val="auto"/>
        </w:rPr>
      </w:pPr>
    </w:p>
    <w:p>
      <w:pPr>
        <w:ind w:left="426" w:hanging="426"/>
        <w:spacing w:after="0"/>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purpose of the Corporation is to engage in any lawful act or activity for which corporations may be organized under the DGCL.</w:t>
      </w:r>
    </w:p>
    <w:p>
      <w:pPr>
        <w:spacing w:after="0" w:line="126" w:lineRule="exact"/>
        <w:rPr>
          <w:rFonts w:ascii="Times New Roman" w:cs="Times New Roman" w:eastAsia="Times New Roman" w:hAnsi="Times New Roman"/>
          <w:sz w:val="18"/>
          <w:szCs w:val="18"/>
          <w:color w:val="auto"/>
        </w:rPr>
      </w:pPr>
    </w:p>
    <w:p>
      <w:pPr>
        <w:ind w:left="426" w:right="200" w:hanging="426"/>
        <w:spacing w:after="0" w:line="277" w:lineRule="auto"/>
        <w:tabs>
          <w:tab w:leader="none" w:pos="426"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have authority to issue 2,000,000 shares of Preferred Stock, par value $0.01 per share (“</w:t>
      </w:r>
      <w:r>
        <w:rPr>
          <w:rFonts w:ascii="Times New Roman" w:cs="Times New Roman" w:eastAsia="Times New Roman" w:hAnsi="Times New Roman"/>
          <w:sz w:val="18"/>
          <w:szCs w:val="18"/>
          <w:u w:val="single" w:color="auto"/>
          <w:color w:val="auto"/>
        </w:rPr>
        <w:t>Preferred Stock</w:t>
      </w:r>
      <w:r>
        <w:rPr>
          <w:rFonts w:ascii="Times New Roman" w:cs="Times New Roman" w:eastAsia="Times New Roman" w:hAnsi="Times New Roman"/>
          <w:sz w:val="18"/>
          <w:szCs w:val="18"/>
          <w:color w:val="auto"/>
        </w:rPr>
        <w:t>”) and 95,000,000 shares of Common Stock, par value $0.01 per share (“</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w:t>
      </w:r>
    </w:p>
    <w:p>
      <w:pPr>
        <w:spacing w:after="0" w:line="56" w:lineRule="exact"/>
        <w:rPr>
          <w:rFonts w:ascii="Times New Roman" w:cs="Times New Roman" w:eastAsia="Times New Roman" w:hAnsi="Times New Roman"/>
          <w:sz w:val="18"/>
          <w:szCs w:val="18"/>
          <w:color w:val="auto"/>
        </w:rPr>
      </w:pPr>
    </w:p>
    <w:p>
      <w:pPr>
        <w:ind w:left="426"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of Directors is expressly authorized to provide for the issuance of all or any shares of Preferred Stock in one or more classes or series, and to fix for each such class or series such voting powers, full or limited, or no voting powers, and such distinctive designations, preferences and relative, participating, optional or other special rights and such qualifications, limitations or restrictions thereof, as shall be stated and expressed in the resolution or resolutions adopted by the Board of Directors providing for the issuance of such class or series and as may be permitted by the DGCL, including, without limitation, the authority to provide that any such class or series may be (i) subject to redemption at such time or times and at such price or prices; (ii) entitled to receive dividends (which may be cumulative or non-cumulative) at such rates, on such conditions, and at such times, and payable in preference to, or in such relation to, the dividends payable on any other class or classes or any other series; (iii) entitled to such rights upon the dissolution of, or upon any distribution of the assets of, the Corporation; or (iv) convertible into, or exchangeable for, shares of any other class or classes of stock, or of any other series of the same or any other class or classes of stock, of the Corporation at such price or prices or at such rates of exchange and with such adjustments; all as may be stated in such resolution or resolutions.</w:t>
      </w:r>
    </w:p>
    <w:p>
      <w:pPr>
        <w:sectPr>
          <w:pgSz w:w="11900" w:h="16838" w:orient="portrait"/>
          <w:cols w:equalWidth="0" w:num="1">
            <w:col w:w="10906"/>
          </w:cols>
          <w:pgMar w:left="494" w:top="117" w:right="499" w:bottom="1440" w:gutter="0" w:footer="0" w:header="0"/>
        </w:sectPr>
      </w:pPr>
    </w:p>
    <w:bookmarkStart w:id="8" w:name="page9"/>
    <w:bookmarkEnd w:id="8"/>
    <w:p>
      <w:pPr>
        <w:ind w:left="426" w:hanging="426"/>
        <w:spacing w:after="0" w:line="249" w:lineRule="auto"/>
        <w:tabs>
          <w:tab w:leader="none" w:pos="42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Unless the Corporation consents in writing to the selection of an alternative forum, the Court of Chancery of the State of Delaware shall, to the fullest extent permitted by applicable law, be the sole and exclusive forum for (i) any derivative action or proceeding brought on behalf of the Corporation, (ii) any action asserting a claim of breach of a duty (including any fiduciary duty) owed by any current or former director, officer, employee or agent of the Corporation to the Corporation or the Corporation’s stockholders, (iii) any action asserting a claim against the Corporation or any current or former director or officer or other employee of the Corporation arising pursuant to any provision of the DGCL, this Amended and Restated Certificate of Incorporation or the Bylaws of the Corporation (each, as in effect from time to time) or as to which the DGCL confers jurisdiction on the Court of Chancery of the State of Delaware, or (iv) any action asserting a claim against the Corporation or any current or former director or officer or other employee of the Corporation governed by the internal affairs doctrine, in each such case subject to said Court of Chancery having personal jurisdiction over the indispensable parties named as defendants therein; provided, however, that, in the event that said Court of Chancery lacks subject matter jurisdiction over any such action or proceeding, the sole and exclusive forum for such action or proceeding shall be another state or federal court located within the State of Delaware, in each such case, unless said Court of Chancery (or such other state or federal court located within the State of Delaware, as applicable) has dismissed a prior action by the same plaintiff asserting the same claims because such court lacked personal jurisdiction over an indispensable party named as a defendant therein. Unless the Corporation consents in writing to the selection of an alternative forum, the federal district courts of the United States of America shall, to the fullest extent permitted by law, be the sole and exclusive forum for the resolution of any complaint asserting a cause of action arising under the Securities Act of 1933, as amended. Any person or entity purchasing or otherwise acquiring any interest in shares of capital stock of the Corporation shall be deemed to have notice of and consented to the provisions of this Article 5.</w:t>
      </w:r>
    </w:p>
    <w:p>
      <w:pPr>
        <w:spacing w:after="0" w:line="89" w:lineRule="exact"/>
        <w:rPr>
          <w:rFonts w:ascii="Times New Roman" w:cs="Times New Roman" w:eastAsia="Times New Roman" w:hAnsi="Times New Roman"/>
          <w:sz w:val="18"/>
          <w:szCs w:val="18"/>
          <w:color w:val="auto"/>
        </w:rPr>
      </w:pPr>
    </w:p>
    <w:p>
      <w:pPr>
        <w:ind w:left="426" w:right="2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or provisions of this Article 5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5 (including, without limitation, each portion of any sentence of this Article 5 containing any such provision held to be invalid, illegal or unenforceable that is not itself held to be invalid, illegal or unenforceable) and the application of such provision to other persons or entities and circumstances shall not in any way be affected or impaired thereby.</w:t>
      </w:r>
    </w:p>
    <w:p>
      <w:pPr>
        <w:spacing w:after="0" w:line="75" w:lineRule="exact"/>
        <w:rPr>
          <w:rFonts w:ascii="Times New Roman" w:cs="Times New Roman" w:eastAsia="Times New Roman" w:hAnsi="Times New Roman"/>
          <w:sz w:val="18"/>
          <w:szCs w:val="18"/>
          <w:color w:val="auto"/>
        </w:rPr>
      </w:pPr>
    </w:p>
    <w:p>
      <w:pPr>
        <w:ind w:left="426"/>
        <w:spacing w:after="0" w:line="27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To the fullest extent permitted by law, if any action the subject matter of which is within the scope of the first sentence of this Article 5 is filed in a court other than a court located within the State of Delaware (a “</w:t>
      </w:r>
      <w:r>
        <w:rPr>
          <w:rFonts w:ascii="Times New Roman" w:cs="Times New Roman" w:eastAsia="Times New Roman" w:hAnsi="Times New Roman"/>
          <w:sz w:val="17"/>
          <w:szCs w:val="17"/>
          <w:u w:val="single" w:color="auto"/>
          <w:color w:val="auto"/>
        </w:rPr>
        <w:t>Foreign Action</w:t>
      </w:r>
      <w:r>
        <w:rPr>
          <w:rFonts w:ascii="Times New Roman" w:cs="Times New Roman" w:eastAsia="Times New Roman" w:hAnsi="Times New Roman"/>
          <w:sz w:val="17"/>
          <w:szCs w:val="17"/>
          <w:color w:val="auto"/>
        </w:rPr>
        <w:t>”) in the name of any stockholder, such stockholder shall be deemed to have consented to (i) the personal jurisdiction of the state and federal courts located within the State of Delaware in connection with any action brought in any such court to enforce this Article 5 (an “</w:t>
      </w:r>
      <w:r>
        <w:rPr>
          <w:rFonts w:ascii="Times New Roman" w:cs="Times New Roman" w:eastAsia="Times New Roman" w:hAnsi="Times New Roman"/>
          <w:sz w:val="17"/>
          <w:szCs w:val="17"/>
          <w:u w:val="single" w:color="auto"/>
          <w:color w:val="auto"/>
        </w:rPr>
        <w:t>FSC Enforcement Action</w:t>
      </w:r>
      <w:r>
        <w:rPr>
          <w:rFonts w:ascii="Times New Roman" w:cs="Times New Roman" w:eastAsia="Times New Roman" w:hAnsi="Times New Roman"/>
          <w:sz w:val="17"/>
          <w:szCs w:val="17"/>
          <w:color w:val="auto"/>
        </w:rPr>
        <w:t>”) and (ii) having service of process made upon such stockholder in any such FSC Enforcement Action by service upon such stockholder’s counsel in the Foreign Action as agent for such stockholder.</w:t>
      </w:r>
    </w:p>
    <w:p>
      <w:pPr>
        <w:spacing w:after="0" w:line="10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6"/>
          </w:cols>
          <w:pgMar w:left="494" w:top="268" w:right="519" w:bottom="1440" w:gutter="0" w:footer="0" w:header="0"/>
        </w:sectPr>
      </w:pPr>
    </w:p>
    <w:bookmarkStart w:id="9" w:name="page10"/>
    <w:bookmarkEnd w:id="9"/>
    <w:p>
      <w:pPr>
        <w:ind w:left="426" w:right="20" w:hanging="426"/>
        <w:spacing w:after="0" w:line="262"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The property, affairs and business of the corporation shall be managed by its Board of Directors. The exact number of directors shall be fixed from time to time by resolution adopted by the majority of the Board of Directors as provided in the Bylaws of the Corporation. The directors shall be elected and shall hold office for such term and be subject to removal as provided in the Bylaws of the Corporation.</w:t>
      </w:r>
    </w:p>
    <w:p>
      <w:pPr>
        <w:spacing w:after="0" w:line="83" w:lineRule="exact"/>
        <w:rPr>
          <w:rFonts w:ascii="Times New Roman" w:cs="Times New Roman" w:eastAsia="Times New Roman" w:hAnsi="Times New Roman"/>
          <w:sz w:val="18"/>
          <w:szCs w:val="18"/>
          <w:color w:val="auto"/>
        </w:rPr>
      </w:pPr>
    </w:p>
    <w:p>
      <w:pPr>
        <w:ind w:left="426" w:right="120" w:hanging="426"/>
        <w:spacing w:after="0" w:line="262"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agreement or plan providing for the dissolution, liquidation, merger or consolidation of the Corporation or the sale, lease, or transfer of substantially all of its assets, shall be effective, unless approved by the affirmative vote of not less than two-thirds of the votes of all the shares of stock outstanding and entitled to vote thereon.</w:t>
      </w:r>
    </w:p>
    <w:p>
      <w:pPr>
        <w:spacing w:after="0" w:line="83" w:lineRule="exact"/>
        <w:rPr>
          <w:rFonts w:ascii="Times New Roman" w:cs="Times New Roman" w:eastAsia="Times New Roman" w:hAnsi="Times New Roman"/>
          <w:sz w:val="18"/>
          <w:szCs w:val="18"/>
          <w:color w:val="auto"/>
        </w:rPr>
      </w:pPr>
    </w:p>
    <w:p>
      <w:pPr>
        <w:ind w:left="426" w:right="60" w:hanging="426"/>
        <w:spacing w:after="0" w:line="251"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officers, employees and other agents of the Corporation, and persons who serve at its request as Directors, officers, employees, or other agents of another organization in which the Corporation directly or indirectly owns shares or of which it is a creditor, shall be indemnified by the Corporation to the fullest extent permitted by law, which indemnification shall include, but not be limited to, payment by the Corporation of expenses incurred in defending a civil or criminal action or proceeding in advance of the final disposition of such action or proceeding, upon receipt of an undertaking by the person indemnified to repay such payments if he shall be adjudicated to be not entitled to indemnification under the law. Any such indemnification shall be provided although the person to be indemnified is no longer an officer, director, employee, or agent of the Corporation or of such other organization. No indemnification shall be provided for any person with respect to any matter as to which he shall have been adjudicated in any proceeding not to have acted in good faith in the reasonable belief that his action was in the best interests of the Corporation.</w:t>
      </w:r>
    </w:p>
    <w:p>
      <w:pPr>
        <w:spacing w:after="0" w:line="82" w:lineRule="exact"/>
        <w:rPr>
          <w:rFonts w:ascii="Times New Roman" w:cs="Times New Roman" w:eastAsia="Times New Roman" w:hAnsi="Times New Roman"/>
          <w:sz w:val="18"/>
          <w:szCs w:val="18"/>
          <w:color w:val="auto"/>
        </w:rPr>
      </w:pPr>
    </w:p>
    <w:p>
      <w:pPr>
        <w:jc w:val="both"/>
        <w:ind w:left="426" w:right="22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to indemnification and to the advancement of expenses conferred in this Article 8 shall not be exclusive of any other right which any person may have or hereafter acquire under this Amended and Restated Certificate of Incorporation, the Bylaws of the Corporation, any statute, agreement, vote of stockholders or disinterested directors or otherwise.</w:t>
      </w:r>
    </w:p>
    <w:p>
      <w:pPr>
        <w:spacing w:after="0" w:line="70" w:lineRule="exact"/>
        <w:rPr>
          <w:rFonts w:ascii="Times New Roman" w:cs="Times New Roman" w:eastAsia="Times New Roman" w:hAnsi="Times New Roman"/>
          <w:sz w:val="18"/>
          <w:szCs w:val="18"/>
          <w:color w:val="auto"/>
        </w:rPr>
      </w:pPr>
    </w:p>
    <w:p>
      <w:pPr>
        <w:jc w:val="both"/>
        <w:ind w:left="426" w:right="160"/>
        <w:spacing w:after="0" w:line="26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repeal or modification of this Article 8 by the stockholders of the Corporation shall not adversely affect any rights to indemnification and to the advancement of expenses of a director, officer, employee or agent of the Corporation existing at the time of such repeal or modification with respect to any acts or omissions occurring prior to such repeal or modification.</w:t>
      </w:r>
    </w:p>
    <w:p>
      <w:pPr>
        <w:spacing w:after="0" w:line="83" w:lineRule="exact"/>
        <w:rPr>
          <w:rFonts w:ascii="Times New Roman" w:cs="Times New Roman" w:eastAsia="Times New Roman" w:hAnsi="Times New Roman"/>
          <w:sz w:val="18"/>
          <w:szCs w:val="18"/>
          <w:color w:val="auto"/>
        </w:rPr>
      </w:pPr>
    </w:p>
    <w:p>
      <w:pPr>
        <w:ind w:left="426" w:hanging="426"/>
        <w:spacing w:after="0" w:line="251" w:lineRule="auto"/>
        <w:tabs>
          <w:tab w:leader="none" w:pos="426"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director of the Corporation shall be personally liable to the Corporation or its stockholders for monetary damages for breach of fiduciary duty by such director as a director; provided, however, that this Article 9 shall not eliminate or limit the liability of a director (except to the extent provided by applicable law) (i) for any breach of the director’s duty of loyalty to the Corporation or its stockholders, (ii) for acts or omissions not in good faith or which involve intentional misconduct or a knowing violation of law, (iii) under Section 174 of the General Corporation Law of the State of Delaware, or (iv) for any transaction from which the director derived an improper personal benefit. This Article 9 shall not apply to or have any effect on the liability or alleged liability of any director of the Corporation for or with respect to any acts or omissions of such director occurring prior to the date this Article 9 becomes effective. No amendment to or repeal of this Article 9 shall apply to or have any effect on the liability or alleged liability of any director of the Corporation for or with respect to any acts or omissions of such director occurring prior to such amendment or repeal.</w:t>
      </w:r>
    </w:p>
    <w:p>
      <w:pPr>
        <w:spacing w:after="0" w:line="122" w:lineRule="exact"/>
        <w:rPr>
          <w:sz w:val="20"/>
          <w:szCs w:val="20"/>
          <w:color w:val="auto"/>
        </w:rPr>
      </w:pPr>
    </w:p>
    <w:p>
      <w:pPr>
        <w:jc w:val="center"/>
        <w:ind w:right="-25"/>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6"/>
          </w:cols>
          <w:pgMar w:left="494" w:top="268" w:right="519" w:bottom="1440" w:gutter="0" w:footer="0" w:header="0"/>
        </w:sectPr>
      </w:pPr>
    </w:p>
    <w:bookmarkStart w:id="10" w:name="page11"/>
    <w:bookmarkEnd w:id="10"/>
    <w:p>
      <w:pPr>
        <w:ind w:left="426" w:hanging="426"/>
        <w:spacing w:after="0" w:line="257"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furtherance and not in limitation of the powers conferred upon it by the laws of the State of Delaware, the Board of Directors shall have the power to adopt, amend, alter or repeal the Bylaws of the Corporation. The affirmative vote of at least a majority of the entire Board of Directors shall be required to adopt, amend, alter or repeal the Bylaws of the Corporation. The Bylaws of the Corporation also may be adopted, amended, altered or repealed by the affirmative vote of the holders of a majority of outstanding capital stock entitled to vote thereon.</w:t>
      </w:r>
    </w:p>
    <w:p>
      <w:pPr>
        <w:spacing w:after="0" w:line="88" w:lineRule="exact"/>
        <w:rPr>
          <w:rFonts w:ascii="Times New Roman" w:cs="Times New Roman" w:eastAsia="Times New Roman" w:hAnsi="Times New Roman"/>
          <w:sz w:val="18"/>
          <w:szCs w:val="18"/>
          <w:color w:val="auto"/>
        </w:rPr>
      </w:pPr>
    </w:p>
    <w:p>
      <w:pPr>
        <w:ind w:left="426" w:right="20" w:hanging="426"/>
        <w:spacing w:after="0" w:line="262" w:lineRule="auto"/>
        <w:tabs>
          <w:tab w:leader="none" w:pos="42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reserves the right to amend, alter, change or repeal any provision contained in this Amended and Restated Certificate of Incorporation, in the manner now or hereafter prescribed by statute, and all rights conferred upon stockholders herein are granted subject to this reservation.</w:t>
      </w:r>
    </w:p>
    <w:p>
      <w:pPr>
        <w:spacing w:after="0" w:line="177"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18"/>
          <w:szCs w:val="18"/>
          <w:color w:val="auto"/>
        </w:rPr>
        <w:t>*      *      *</w:t>
      </w:r>
    </w:p>
    <w:p>
      <w:pPr>
        <w:spacing w:after="0" w:line="154" w:lineRule="exact"/>
        <w:rPr>
          <w:sz w:val="20"/>
          <w:szCs w:val="20"/>
          <w:color w:val="auto"/>
        </w:rPr>
      </w:pPr>
    </w:p>
    <w:p>
      <w:pPr>
        <w:jc w:val="center"/>
        <w:ind w:right="-22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686"/>
          </w:cols>
          <w:pgMar w:left="494" w:top="268" w:right="719" w:bottom="1440" w:gutter="0" w:footer="0" w:header="0"/>
        </w:sectPr>
      </w:pPr>
    </w:p>
    <w:bookmarkStart w:id="11" w:name="page12"/>
    <w:bookmarkEnd w:id="11"/>
    <w:p>
      <w:pPr>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WITNESS WHEREOF, the Corporation has caused this Amended and Restated Certificate of Incorporation to be executed on its behalf this second day of July 2026.</w:t>
      </w:r>
    </w:p>
    <w:p>
      <w:pPr>
        <w:spacing w:after="0" w:line="19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Michael D. Thompson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4385945</wp:posOffset>
            </wp:positionH>
            <wp:positionV relativeFrom="paragraph">
              <wp:posOffset>15875</wp:posOffset>
            </wp:positionV>
            <wp:extent cx="25361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13"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8"/>
          <w:szCs w:val="18"/>
          <w:color w:val="auto"/>
        </w:rPr>
        <w:t>Name: Michael D. Thompson</w:t>
      </w:r>
    </w:p>
    <w:p>
      <w:pPr>
        <w:spacing w:after="0" w:line="26" w:lineRule="exact"/>
        <w:rPr>
          <w:sz w:val="20"/>
          <w:szCs w:val="20"/>
          <w:color w:val="auto"/>
        </w:rPr>
      </w:pPr>
    </w:p>
    <w:p>
      <w:pPr>
        <w:ind w:left="6900"/>
        <w:spacing w:after="0"/>
        <w:rPr>
          <w:sz w:val="20"/>
          <w:szCs w:val="20"/>
          <w:color w:val="auto"/>
        </w:rPr>
      </w:pPr>
      <w:r>
        <w:rPr>
          <w:rFonts w:ascii="Times New Roman" w:cs="Times New Roman" w:eastAsia="Times New Roman" w:hAnsi="Times New Roman"/>
          <w:sz w:val="17"/>
          <w:szCs w:val="17"/>
          <w:color w:val="auto"/>
        </w:rPr>
        <w:t>Title:    Vice President, General Counsel and Secretary</w:t>
      </w:r>
    </w:p>
    <w:p>
      <w:pPr>
        <w:sectPr>
          <w:pgSz w:w="11900" w:h="16838" w:orient="portrait"/>
          <w:cols w:equalWidth="0" w:num="1">
            <w:col w:w="10740"/>
          </w:cols>
          <w:pgMar w:left="500" w:top="268" w:right="65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BYLAWS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Midera Food Processing, Inc.</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 Delaware corporation</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(hereinafter called the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(EFFECTIVE AS OF July 2, 2026)</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STOCKHOLDERS</w:t>
      </w:r>
    </w:p>
    <w:p>
      <w:pPr>
        <w:spacing w:after="0" w:line="224" w:lineRule="exact"/>
        <w:rPr>
          <w:sz w:val="20"/>
          <w:szCs w:val="20"/>
          <w:color w:val="auto"/>
        </w:rPr>
      </w:pPr>
    </w:p>
    <w:p>
      <w:pPr>
        <w:ind w:right="10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ANNUAL MEETING</w:t>
      </w:r>
      <w:r>
        <w:rPr>
          <w:rFonts w:ascii="Times New Roman" w:cs="Times New Roman" w:eastAsia="Times New Roman" w:hAnsi="Times New Roman"/>
          <w:sz w:val="18"/>
          <w:szCs w:val="18"/>
          <w:color w:val="auto"/>
        </w:rPr>
        <w:t>. An annual meeting of stockholders for the purpose of electing directors and of transacting such other business as may come before it shall be held each year at such date, time and place, either within or without the State of Delaware, as may be specified by the Board of Directors.</w:t>
      </w:r>
    </w:p>
    <w:p>
      <w:pPr>
        <w:spacing w:after="0" w:line="177" w:lineRule="exact"/>
        <w:rPr>
          <w:sz w:val="20"/>
          <w:szCs w:val="20"/>
          <w:color w:val="auto"/>
        </w:rPr>
      </w:pPr>
    </w:p>
    <w:p>
      <w:pPr>
        <w:ind w:right="1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1.2 </w:t>
      </w:r>
      <w:r>
        <w:rPr>
          <w:rFonts w:ascii="Times New Roman" w:cs="Times New Roman" w:eastAsia="Times New Roman" w:hAnsi="Times New Roman"/>
          <w:sz w:val="18"/>
          <w:szCs w:val="18"/>
          <w:u w:val="single" w:color="auto"/>
          <w:color w:val="auto"/>
        </w:rPr>
        <w:t>SPECIAL MEETINGS</w:t>
      </w:r>
      <w:r>
        <w:rPr>
          <w:rFonts w:ascii="Times New Roman" w:cs="Times New Roman" w:eastAsia="Times New Roman" w:hAnsi="Times New Roman"/>
          <w:sz w:val="18"/>
          <w:szCs w:val="18"/>
          <w:color w:val="auto"/>
        </w:rPr>
        <w:t>. Special meetings of stockholders for any purpose or purposes may be held at any time upon call of the Chairman of the Board, the Chief Executive Officer, or a majority of the Board of Directors, at such time and place either within or without the State of Delaware as may be stated in the call and notice. The ability of stockholders to call a special meeting of stockholders is hereby specifically denied.</w:t>
      </w:r>
    </w:p>
    <w:p>
      <w:pPr>
        <w:spacing w:after="0" w:line="177" w:lineRule="exact"/>
        <w:rPr>
          <w:sz w:val="20"/>
          <w:szCs w:val="20"/>
          <w:color w:val="auto"/>
        </w:rPr>
      </w:pPr>
    </w:p>
    <w:p>
      <w:pPr>
        <w:ind w:right="40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1.3 </w:t>
      </w:r>
      <w:r>
        <w:rPr>
          <w:rFonts w:ascii="Times New Roman" w:cs="Times New Roman" w:eastAsia="Times New Roman" w:hAnsi="Times New Roman"/>
          <w:sz w:val="18"/>
          <w:szCs w:val="18"/>
          <w:u w:val="single" w:color="auto"/>
          <w:color w:val="auto"/>
        </w:rPr>
        <w:t>NOTICE OF MEETINGS</w:t>
      </w:r>
      <w:r>
        <w:rPr>
          <w:rFonts w:ascii="Times New Roman" w:cs="Times New Roman" w:eastAsia="Times New Roman" w:hAnsi="Times New Roman"/>
          <w:sz w:val="18"/>
          <w:szCs w:val="18"/>
          <w:color w:val="auto"/>
        </w:rPr>
        <w:t>. Notice of stockholders’ meetings, stating the place, date and hour thereof, and, in the case of a special meeting, the purpose or purposes for which the meeting is called, shall be given by the Chairman of the Board, the Chief Executive Officer or the Secretary to each stockholder of record entitled to vote thereat at least ten days but not more than sixty days before the date of the meeting, unless a different period is prescribed by law.</w:t>
      </w:r>
    </w:p>
    <w:p>
      <w:pPr>
        <w:spacing w:after="0" w:line="182"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7"/>
          <w:szCs w:val="17"/>
          <w:color w:val="auto"/>
        </w:rPr>
        <w:t xml:space="preserve">Section 1.4 </w:t>
      </w:r>
      <w:r>
        <w:rPr>
          <w:rFonts w:ascii="Times New Roman" w:cs="Times New Roman" w:eastAsia="Times New Roman" w:hAnsi="Times New Roman"/>
          <w:sz w:val="17"/>
          <w:szCs w:val="17"/>
          <w:u w:val="single" w:color="auto"/>
          <w:color w:val="auto"/>
        </w:rPr>
        <w:t>QUORUM</w:t>
      </w:r>
      <w:r>
        <w:rPr>
          <w:rFonts w:ascii="Times New Roman" w:cs="Times New Roman" w:eastAsia="Times New Roman" w:hAnsi="Times New Roman"/>
          <w:sz w:val="17"/>
          <w:szCs w:val="17"/>
          <w:color w:val="auto"/>
        </w:rPr>
        <w:t>. Except as otherwise provided by law or the certificate of incorporation or these Bylaws, at any meeting of stockholders, the holders of a majority of the outstanding shares of each class of stock entitled to vote at the meeting shall be present or represented by proxy in order to constitute a quorum for transaction of any business. In the absence of a quorum, a majority in interest of the stockholders present or the chairman of the meeting may adjourn the meeting from time to time in the manner provided in Section 1.5 of these Bylaws until a quorum shall attend.</w:t>
      </w:r>
    </w:p>
    <w:p>
      <w:pPr>
        <w:sectPr>
          <w:pgSz w:w="11900" w:h="16838" w:orient="portrait"/>
          <w:cols w:equalWidth="0" w:num="1">
            <w:col w:w="10900"/>
          </w:cols>
          <w:pgMar w:left="500" w:top="117" w:right="499" w:bottom="1440" w:gutter="0" w:footer="0" w:header="0"/>
        </w:sectPr>
      </w:pPr>
    </w:p>
    <w:bookmarkStart w:id="13" w:name="page14"/>
    <w:bookmarkEnd w:id="13"/>
    <w:p>
      <w:pPr>
        <w:ind w:right="60" w:firstLine="436"/>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1.5 </w:t>
      </w:r>
      <w:r>
        <w:rPr>
          <w:rFonts w:ascii="Times New Roman" w:cs="Times New Roman" w:eastAsia="Times New Roman" w:hAnsi="Times New Roman"/>
          <w:sz w:val="18"/>
          <w:szCs w:val="18"/>
          <w:u w:val="single" w:color="auto"/>
          <w:color w:val="auto"/>
        </w:rPr>
        <w:t>ADJOURNMENT</w:t>
      </w:r>
      <w:r>
        <w:rPr>
          <w:rFonts w:ascii="Times New Roman" w:cs="Times New Roman" w:eastAsia="Times New Roman" w:hAnsi="Times New Roman"/>
          <w:sz w:val="18"/>
          <w:szCs w:val="18"/>
          <w:color w:val="auto"/>
        </w:rPr>
        <w:t>. Any meeting of stockholders, annual or special, may adjourn from time to time to reconvene at the same or some other place, and notice need not be given of any such adjourned meeting if the time and place thereof are announced at the meeting at which the adjournment is taken. At the adjourned meeting, the Corporation may transact any business which might have been transacted at the original meeting. If the adjournment is for more than thirty days, or if after the adjournment a new record date is fixed for the adjourned meeting, a notice of the adjourned meeting shall be given to each stockholder of record entitled to vote at the meeting.</w:t>
      </w:r>
    </w:p>
    <w:p>
      <w:pPr>
        <w:spacing w:after="0" w:line="18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1.6 </w:t>
      </w:r>
      <w:r>
        <w:rPr>
          <w:rFonts w:ascii="Times New Roman" w:cs="Times New Roman" w:eastAsia="Times New Roman" w:hAnsi="Times New Roman"/>
          <w:sz w:val="18"/>
          <w:szCs w:val="18"/>
          <w:u w:val="single" w:color="auto"/>
          <w:color w:val="auto"/>
        </w:rPr>
        <w:t>ORGANIZATION</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80" w:firstLine="975"/>
        <w:spacing w:after="0" w:line="257" w:lineRule="auto"/>
        <w:tabs>
          <w:tab w:leader="none" w:pos="122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Chairman of the Board, or in his absence the Chief Executive Officer, or in their absence the Chief Financial Officer, shall call to order meetings of stockholders and shall act as chairman of such meetings. The Board of Directors or, if the Board fails to act, the stockholders may appoint any stockholder or any director or officer of the Corporation to act as chairman of any meeting in the absence of the Chairman of the Board, the Chief Executive Officer and the Chief Financial Officer.</w:t>
      </w:r>
    </w:p>
    <w:p>
      <w:pPr>
        <w:spacing w:after="0" w:line="182" w:lineRule="exact"/>
        <w:rPr>
          <w:rFonts w:ascii="Times New Roman" w:cs="Times New Roman" w:eastAsia="Times New Roman" w:hAnsi="Times New Roman"/>
          <w:sz w:val="18"/>
          <w:szCs w:val="18"/>
          <w:color w:val="auto"/>
        </w:rPr>
      </w:pPr>
    </w:p>
    <w:p>
      <w:pPr>
        <w:ind w:firstLine="975"/>
        <w:spacing w:after="0" w:line="277" w:lineRule="auto"/>
        <w:tabs>
          <w:tab w:leader="none" w:pos="1233"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Secretary of the Corporation shall act as secretary of all meetings of stockholders, but in the absence of the Secretary, the chairman of the meeting may appoint any other person to act as secretary of the meeting.</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1.7 </w:t>
      </w:r>
      <w:r>
        <w:rPr>
          <w:rFonts w:ascii="Times New Roman" w:cs="Times New Roman" w:eastAsia="Times New Roman" w:hAnsi="Times New Roman"/>
          <w:sz w:val="18"/>
          <w:szCs w:val="18"/>
          <w:u w:val="single" w:color="auto"/>
          <w:color w:val="auto"/>
        </w:rPr>
        <w:t>VOTING</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140" w:firstLine="975"/>
        <w:spacing w:after="0" w:line="257" w:lineRule="auto"/>
        <w:tabs>
          <w:tab w:leader="none" w:pos="122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by law, the Certificate of Incorporation or these Bylaws and except for the election of directors, which shall be the subject of Section 1.7(b) of these Bylaws, at any meeting duly called and held at which a quorum is present, a majority of the votes cast at such meeting upon a given question by the holders of outstanding shares of stock of all classes of stock of the Corporation entitled to vote thereon who are present in person or by proxy shall decide such questions.</w:t>
      </w:r>
    </w:p>
    <w:p>
      <w:pPr>
        <w:spacing w:after="0" w:line="182" w:lineRule="exact"/>
        <w:rPr>
          <w:rFonts w:ascii="Times New Roman" w:cs="Times New Roman" w:eastAsia="Times New Roman" w:hAnsi="Times New Roman"/>
          <w:sz w:val="18"/>
          <w:szCs w:val="18"/>
          <w:color w:val="auto"/>
        </w:rPr>
      </w:pPr>
    </w:p>
    <w:p>
      <w:pPr>
        <w:ind w:right="40" w:firstLine="975"/>
        <w:spacing w:after="0" w:line="252" w:lineRule="auto"/>
        <w:tabs>
          <w:tab w:leader="none" w:pos="123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Section 2.1(c) of these Bylaws and subject to any rights of the holders of any class or series of stock to elect directors separately, each director shall be elected by a vote of the majority of the votes cast with respect to that director at any meeting for the election of directors at which a quorum is present, in accordance with these Bylaws; provided that if as of a date that is fourteen (14) days in advance of the date the Corporation files its definitive proxy statement (regardless of whether or not thereafter revised or supplemented) with the Securities and Exchange Commission, the number of nominees exceeds the number of directors to be elected, the directors shall be elected by the vote of a plurality of the shares represented in person or by proxy at any such meeting and entitled to vote on the election of directors. For purposes of this Section, a majority of the votes cast means that the number of shares voted “for” a director must exceed the number of votes cast against that director.</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80"/>
          </w:cols>
          <w:pgMar w:left="500" w:top="268" w:right="519" w:bottom="1440" w:gutter="0" w:footer="0" w:header="0"/>
        </w:sectPr>
      </w:pPr>
    </w:p>
    <w:bookmarkStart w:id="14" w:name="page15"/>
    <w:bookmarkEnd w:id="14"/>
    <w:p>
      <w:pPr>
        <w:ind w:right="80" w:firstLine="436"/>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1.8 </w:t>
      </w:r>
      <w:r>
        <w:rPr>
          <w:rFonts w:ascii="Times New Roman" w:cs="Times New Roman" w:eastAsia="Times New Roman" w:hAnsi="Times New Roman"/>
          <w:sz w:val="18"/>
          <w:szCs w:val="18"/>
          <w:u w:val="single" w:color="auto"/>
          <w:color w:val="auto"/>
        </w:rPr>
        <w:t>CONDUCT OF MEETINGS</w:t>
      </w:r>
      <w:r>
        <w:rPr>
          <w:rFonts w:ascii="Times New Roman" w:cs="Times New Roman" w:eastAsia="Times New Roman" w:hAnsi="Times New Roman"/>
          <w:sz w:val="18"/>
          <w:szCs w:val="18"/>
          <w:color w:val="auto"/>
        </w:rPr>
        <w:t>. The Board of Directors may adopt by resolution such rules and regulations for the conduct of any meeting of the stockholders as it shall deem appropriate. Except to the extent inconsistent with such rules and regulations as adopted by the Board of Directors, the chairman of any meeting of the stockholders shall have the right and authority to prescribe such rules, regulations and procedures and to do all such acts as, in the judgment of such chairman, are appropriate for the proper conduct of the meeting. Such rules, regulations or procedures, whether adopted by the Board of Directors or prescribed by the chairman of the meeting, may include, without limitation, the following: (i) the establishment of an agenda or order of business for the meeting; (ii) the determination of when the polls shall open and close for any given matter to be voted on at the meeting; (iii) rules and procedures for maintaining order at the meeting and the safety of those present; (iv) limitations on attendance at or participation in the meeting to stockholders of record of the Corporation, their duly authorized and constituted proxies or such other persons as the chairman of the meeting shall determine; (v) restrictions on entry to the meeting after the time fixed for the commencement thereof; and (vi) limitations on the time allotted to questions or comments by participants.</w:t>
      </w:r>
    </w:p>
    <w:p>
      <w:pPr>
        <w:spacing w:after="0" w:line="1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1.9 </w:t>
      </w:r>
      <w:r>
        <w:rPr>
          <w:rFonts w:ascii="Times New Roman" w:cs="Times New Roman" w:eastAsia="Times New Roman" w:hAnsi="Times New Roman"/>
          <w:sz w:val="18"/>
          <w:szCs w:val="18"/>
          <w:u w:val="single" w:color="auto"/>
          <w:color w:val="auto"/>
        </w:rPr>
        <w:t>NATURE OF BUSINESS AT MEETINGS OF STOCKHOLDERS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right="100" w:firstLine="975"/>
        <w:spacing w:after="0" w:line="253" w:lineRule="auto"/>
        <w:tabs>
          <w:tab w:leader="none" w:pos="12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business may be transacted at an annual meeting of stockholders, other than business that is either (a) specified in the notice of meeting (or any supplement thereto) given by or at the direction of the Board of Directors (or any duly authorized committee thereof), (b) otherwise properly brought before the annual meeting by or at the direction of the Board of Directors (or any duly authorized committee thereof), or (c) otherwise properly brought before the annual meeting by any stockholder of the Corporation (i) who is a stockholder of record on the date of the giving of the notice provided for in this Section 1.9 and on the record date for the determination of stockholders entitled to notice of and to vote at such annual meeting and (ii) who complies with the notice procedures set forth in this Section 1.9.</w:t>
      </w:r>
    </w:p>
    <w:p>
      <w:pPr>
        <w:spacing w:after="0" w:line="186" w:lineRule="exact"/>
        <w:rPr>
          <w:rFonts w:ascii="Times New Roman" w:cs="Times New Roman" w:eastAsia="Times New Roman" w:hAnsi="Times New Roman"/>
          <w:sz w:val="18"/>
          <w:szCs w:val="18"/>
          <w:color w:val="auto"/>
        </w:rPr>
      </w:pPr>
    </w:p>
    <w:p>
      <w:pPr>
        <w:ind w:right="160" w:firstLine="975"/>
        <w:spacing w:after="0" w:line="277"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applicable requirements, for business to be properly brought before an annual meeting by a stockholder, such stockholder must have given timely notice thereof in proper written form to the Secretary of the Corporation.</w:t>
      </w:r>
    </w:p>
    <w:p>
      <w:pPr>
        <w:spacing w:after="0" w:line="163" w:lineRule="exact"/>
        <w:rPr>
          <w:rFonts w:ascii="Times New Roman" w:cs="Times New Roman" w:eastAsia="Times New Roman" w:hAnsi="Times New Roman"/>
          <w:sz w:val="18"/>
          <w:szCs w:val="18"/>
          <w:color w:val="auto"/>
        </w:rPr>
      </w:pPr>
    </w:p>
    <w:p>
      <w:pPr>
        <w:ind w:firstLine="975"/>
        <w:spacing w:after="0" w:line="253" w:lineRule="auto"/>
        <w:tabs>
          <w:tab w:leader="none" w:pos="12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timely, a stockholder’s notice to the Secretary must be delivered to or mailed and received at the principal executive offices of the Corporation not less than ninety (90) days nor more than one hundred twenty (120) days prior to the anniversary date of the immediately preceding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w:t>
      </w:r>
    </w:p>
    <w:p>
      <w:pPr>
        <w:spacing w:after="0" w:line="186" w:lineRule="exact"/>
        <w:rPr>
          <w:rFonts w:ascii="Times New Roman" w:cs="Times New Roman" w:eastAsia="Times New Roman" w:hAnsi="Times New Roman"/>
          <w:sz w:val="18"/>
          <w:szCs w:val="18"/>
          <w:color w:val="auto"/>
        </w:rPr>
      </w:pPr>
    </w:p>
    <w:p>
      <w:pPr>
        <w:ind w:right="20" w:firstLine="975"/>
        <w:spacing w:after="0" w:line="257" w:lineRule="auto"/>
        <w:tabs>
          <w:tab w:leader="none" w:pos="123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be in proper written form, a stockholder’s notice to the Secretary must set forth as to each matter such stockholder proposes to bring before the annual meeting (i) a brief description of the business desired to be brought before the annual meeting and the reasons for conducting such business at the annual meeting, (ii) the name and record address of such stockholder, (iii) the class or series and number of shares of capital stock of the Corporation</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80"/>
          </w:cols>
          <w:pgMar w:left="500" w:top="268" w:right="519" w:bottom="1440" w:gutter="0" w:footer="0" w:header="0"/>
        </w:sectPr>
      </w:pPr>
    </w:p>
    <w:bookmarkStart w:id="15" w:name="page16"/>
    <w:bookmarkEnd w:id="15"/>
    <w:p>
      <w:pPr>
        <w:jc w:val="both"/>
        <w:ind w:left="6" w:right="20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which are owned beneficially or of record by such stockholder, (iv) a description of all arrangements or understandings between such stockholder and any other person or persons (including their names) in connection with the proposal of such business by such stockholder and any material interest of such stockholder in such business and (v) a representation that such stockholder intends to appear in person or by proxy at the annual meeting to bring such business before the meeting.</w:t>
      </w:r>
    </w:p>
    <w:p>
      <w:pPr>
        <w:spacing w:after="0" w:line="182" w:lineRule="exact"/>
        <w:rPr>
          <w:sz w:val="20"/>
          <w:szCs w:val="20"/>
          <w:color w:val="auto"/>
        </w:rPr>
      </w:pPr>
    </w:p>
    <w:p>
      <w:pPr>
        <w:ind w:left="6" w:right="60" w:firstLine="975"/>
        <w:spacing w:after="0" w:line="253" w:lineRule="auto"/>
        <w:tabs>
          <w:tab w:leader="none" w:pos="122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business shall be conducted at the annual meeting of stockholders except business brought before the annual meeting in accordance with the procedures set forth in this Section 1.9;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once business has been properly brought before the annual meeting in accordance with such procedures, nothing in this Section 1.9 shall be deemed to preclude discussion by any stockholder of any such business. If the chairman of an annual meeting determines that business was not properly brought before the annual meeting in accordance with the foregoing procedures, the chairman shall declare to the meeting that the business was not properly brought before the meeting and such business shall not be transacted.</w:t>
      </w:r>
    </w:p>
    <w:p>
      <w:pPr>
        <w:spacing w:after="0" w:line="18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Section 1.10 </w:t>
      </w:r>
      <w:r>
        <w:rPr>
          <w:rFonts w:ascii="Times New Roman" w:cs="Times New Roman" w:eastAsia="Times New Roman" w:hAnsi="Times New Roman"/>
          <w:sz w:val="18"/>
          <w:szCs w:val="18"/>
          <w:u w:val="single" w:color="auto"/>
          <w:color w:val="auto"/>
        </w:rPr>
        <w:t>NOMINATION OF DIRECTORS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6" w:right="400" w:firstLine="975"/>
        <w:spacing w:after="0" w:line="268" w:lineRule="auto"/>
        <w:tabs>
          <w:tab w:leader="none" w:pos="1229"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Only persons who are nominated in accordance with the following procedures shall be eligible for election as directors of the Corporation, except as may be otherwise provided in the Certificate of Incorporation with respect to the right of holders of preferred stock of the Corporation to nominate and elect a specified number of directors in certain circumstances. Nominations of persons for election to the Board of Directors may be made at any annual meeting of stockholders, or at any special meeting of stockholders called for the purpose of electing directors,</w:t>
      </w:r>
    </w:p>
    <w:p>
      <w:pPr>
        <w:ind w:left="6" w:hanging="6"/>
        <w:spacing w:after="0" w:line="251" w:lineRule="auto"/>
        <w:tabs>
          <w:tab w:leader="none" w:pos="24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or at the direction of the Board of Directors (or any duly authorized committee thereof) or (b) by any stockholder of the Corporation (i) who is a stockholder of record on the date of the giving of the notice provided for in this Section 1.10 and on the record date for the determination of stockholders entitled to notice of and to vote at such meeting and (ii) who complies with the notice procedures set forth in this Section 1.10.</w:t>
      </w:r>
    </w:p>
    <w:p>
      <w:pPr>
        <w:spacing w:after="0" w:line="186" w:lineRule="exact"/>
        <w:rPr>
          <w:rFonts w:ascii="Times New Roman" w:cs="Times New Roman" w:eastAsia="Times New Roman" w:hAnsi="Times New Roman"/>
          <w:sz w:val="18"/>
          <w:szCs w:val="18"/>
          <w:color w:val="auto"/>
        </w:rPr>
      </w:pPr>
    </w:p>
    <w:p>
      <w:pPr>
        <w:ind w:left="6" w:right="440" w:firstLine="975"/>
        <w:spacing w:after="0" w:line="277" w:lineRule="auto"/>
        <w:tabs>
          <w:tab w:leader="none" w:pos="123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any other applicable requirements, for a nomination to be made by a stockholder, such stockholder must have given timely notice thereof in proper written form to the Secretary of the Corporation.</w:t>
      </w:r>
    </w:p>
    <w:p>
      <w:pPr>
        <w:spacing w:after="0" w:line="163" w:lineRule="exact"/>
        <w:rPr>
          <w:rFonts w:ascii="Times New Roman" w:cs="Times New Roman" w:eastAsia="Times New Roman" w:hAnsi="Times New Roman"/>
          <w:sz w:val="18"/>
          <w:szCs w:val="18"/>
          <w:color w:val="auto"/>
        </w:rPr>
      </w:pPr>
    </w:p>
    <w:p>
      <w:pPr>
        <w:ind w:left="6" w:firstLine="975"/>
        <w:spacing w:after="0" w:line="252" w:lineRule="auto"/>
        <w:tabs>
          <w:tab w:leader="none" w:pos="1229"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be timely, a stockholder’s notice to the Secretary must be delivered to or mailed and received at the principal executive offices of the Corporation (a) in the case of an annual meeting, not less than ninety (90) days nor more than one hundred twenty (120) days prior to the anniversary date of the immediately preceding annual meeting of stockholders;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annual meeting is called for a date that is not within thirty (30) days before or after such anniversary date, notice by the stockholder in order to be timely must be so received not later than the close of business on the tenth (10th) day following the day on which such notice of the date of the annual meeting was mailed or such public disclosure of the date of the annual meeting was made, whichever first occurs; and (b) in the case of a special meeting of stockholders called for the purpose of electing directors, not later than the close of business on the tenth (10th) day following the day on which notice of the date of the special meeting was mailed or public disclosure of the date of the special meeting was made, whichever first occurs.</w:t>
      </w:r>
    </w:p>
    <w:p>
      <w:pPr>
        <w:spacing w:after="0" w:line="11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6"/>
          </w:cols>
          <w:pgMar w:left="494" w:top="268" w:right="499" w:bottom="1440" w:gutter="0" w:footer="0" w:header="0"/>
        </w:sectPr>
      </w:pPr>
    </w:p>
    <w:bookmarkStart w:id="16" w:name="page17"/>
    <w:bookmarkEnd w:id="16"/>
    <w:p>
      <w:pPr>
        <w:ind w:left="6" w:right="20" w:firstLine="975"/>
        <w:spacing w:after="0" w:line="250" w:lineRule="auto"/>
        <w:tabs>
          <w:tab w:leader="none" w:pos="123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be in proper written form, a stockholder’s notice to the Secretary must set forth (a) as to each person whom the stockholder proposes to nominate for election as a director (i) the name, age, business address and residence address of the person, (ii) the principal occupation or employment of the person, (iii) the class or series and number of shares of capital stock of the Corporation which are owned beneficially or of record by the person and (iv) any other information relating to the person that would be required to be disclosed in a proxy statement or other filings required to be made in connection with solicitations of proxies for election of directors pursuant to Section 14 of the Securities Exchange Act of 1934, as amended (the “Exchange Act”), and the rules and regulations promulgated thereunder; and (b) as to the stockholder giving the notice (i) the name and record address of such stockholder, (ii) the class or series and number of shares of capital stock of the Corporation which are owned beneficially or of record by such stockholder, a (iii) description of all arrangements or understandings between such stockholder and each proposed nominee and any other person or persons (including their names) pursuant to which the nomination(s) are to be made by such stockholder, (iv) a representation that such stockholder intends to appear in person or by proxy at the meeting to nominate the persons named in its notice and (v) any other information relating to such stockholder that would be required to be disclosed in a proxy statement or other filings required to be made in connection with solicitations of proxies for election of directors pursuant to Section 14 of the Exchange Act and the rules and regulations promulgated thereunder. Such notice must be accompanied by a written consent of each proposed nominee to being named as a nominee and to serve as a director if elected.</w:t>
      </w:r>
    </w:p>
    <w:p>
      <w:pPr>
        <w:spacing w:after="0" w:line="189" w:lineRule="exact"/>
        <w:rPr>
          <w:rFonts w:ascii="Times New Roman" w:cs="Times New Roman" w:eastAsia="Times New Roman" w:hAnsi="Times New Roman"/>
          <w:sz w:val="18"/>
          <w:szCs w:val="18"/>
          <w:color w:val="auto"/>
        </w:rPr>
      </w:pPr>
    </w:p>
    <w:p>
      <w:pPr>
        <w:jc w:val="both"/>
        <w:ind w:left="6" w:firstLine="975"/>
        <w:spacing w:after="0" w:line="262" w:lineRule="auto"/>
        <w:tabs>
          <w:tab w:leader="none" w:pos="122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be eligible for election as a director of the Corporation unless nominated in accordance with the procedures set forth in this Section 1.10. If the Chairman of the meeting determines that a nomination was not made in accordance with the foregoing procedures, the Chairman shall declare to the meeting that the nomination was defective and such defective nomination shall be disregarded.</w:t>
      </w:r>
    </w:p>
    <w:p>
      <w:pPr>
        <w:spacing w:after="0" w:line="17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u w:val="single" w:color="auto"/>
          <w:color w:val="auto"/>
        </w:rPr>
        <w:t>BOARD OF DIRECTORS</w:t>
      </w:r>
    </w:p>
    <w:p>
      <w:pPr>
        <w:spacing w:after="0" w:line="22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Section 2.1 </w:t>
      </w:r>
      <w:r>
        <w:rPr>
          <w:rFonts w:ascii="Times New Roman" w:cs="Times New Roman" w:eastAsia="Times New Roman" w:hAnsi="Times New Roman"/>
          <w:sz w:val="18"/>
          <w:szCs w:val="18"/>
          <w:u w:val="single" w:color="auto"/>
          <w:color w:val="auto"/>
        </w:rPr>
        <w:t>NUMBER AND TERM OF OFFICE</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1226" w:hanging="245"/>
        <w:spacing w:after="0"/>
        <w:tabs>
          <w:tab w:leader="none" w:pos="1226"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property, affairs and business of the Corporation shall be managed by its Board of Directors consisting of not fewer than three</w:t>
      </w:r>
    </w:p>
    <w:p>
      <w:pPr>
        <w:spacing w:after="0" w:line="25" w:lineRule="exact"/>
        <w:rPr>
          <w:rFonts w:ascii="Times New Roman" w:cs="Times New Roman" w:eastAsia="Times New Roman" w:hAnsi="Times New Roman"/>
          <w:sz w:val="18"/>
          <w:szCs w:val="18"/>
          <w:color w:val="auto"/>
        </w:rPr>
      </w:pPr>
    </w:p>
    <w:p>
      <w:pPr>
        <w:ind w:left="6" w:right="20" w:hanging="6"/>
        <w:spacing w:after="0" w:line="255" w:lineRule="auto"/>
        <w:tabs>
          <w:tab w:leader="none" w:pos="25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nor more than eleven (11) persons. The exact number of directors within the maximum and minimum limitations specified herein shall be fixed from time to time by resolution adopted by the majority of the Board of Directors.</w:t>
      </w:r>
    </w:p>
    <w:p>
      <w:pPr>
        <w:spacing w:after="0" w:line="182" w:lineRule="exact"/>
        <w:rPr>
          <w:rFonts w:ascii="Times New Roman" w:cs="Times New Roman" w:eastAsia="Times New Roman" w:hAnsi="Times New Roman"/>
          <w:sz w:val="18"/>
          <w:szCs w:val="18"/>
          <w:color w:val="auto"/>
        </w:rPr>
      </w:pPr>
    </w:p>
    <w:p>
      <w:pPr>
        <w:ind w:left="6" w:firstLine="975"/>
        <w:spacing w:after="0" w:line="262" w:lineRule="auto"/>
        <w:tabs>
          <w:tab w:leader="none" w:pos="123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directors, except as provided in Section 2.1(c), shall be elected at the annual meeting of stockholders, and each director shall hold office, subject to the provisions of this Article, until the next annual meeting of stockholders and until his successor is duly elected and qualified, or until such director’s earlier death, resignation or removal.</w:t>
      </w:r>
    </w:p>
    <w:p>
      <w:pPr>
        <w:spacing w:after="0" w:line="177" w:lineRule="exact"/>
        <w:rPr>
          <w:rFonts w:ascii="Times New Roman" w:cs="Times New Roman" w:eastAsia="Times New Roman" w:hAnsi="Times New Roman"/>
          <w:sz w:val="18"/>
          <w:szCs w:val="18"/>
          <w:color w:val="auto"/>
        </w:rPr>
      </w:pPr>
    </w:p>
    <w:p>
      <w:pPr>
        <w:ind w:left="6" w:firstLine="975"/>
        <w:spacing w:after="0" w:line="257" w:lineRule="auto"/>
        <w:tabs>
          <w:tab w:leader="none" w:pos="1229"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next annual election and until their successors are duly elected and shall qualify, unless sooner displaced. If there are no directors in office, then an election of directors may be held in the manner provided by statute.</w:t>
      </w:r>
    </w:p>
    <w:p>
      <w:pPr>
        <w:spacing w:after="0" w:line="11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6"/>
          </w:cols>
          <w:pgMar w:left="494" w:top="268" w:right="519" w:bottom="1440" w:gutter="0" w:footer="0" w:header="0"/>
        </w:sectPr>
      </w:pPr>
    </w:p>
    <w:bookmarkStart w:id="17" w:name="page18"/>
    <w:bookmarkEnd w:id="17"/>
    <w:p>
      <w:pPr>
        <w:ind w:right="300" w:firstLine="436"/>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2.2 </w:t>
      </w:r>
      <w:r>
        <w:rPr>
          <w:rFonts w:ascii="Times New Roman" w:cs="Times New Roman" w:eastAsia="Times New Roman" w:hAnsi="Times New Roman"/>
          <w:sz w:val="18"/>
          <w:szCs w:val="18"/>
          <w:u w:val="single" w:color="auto"/>
          <w:color w:val="auto"/>
        </w:rPr>
        <w:t>CHAIRMAN OF THE BOARD</w:t>
      </w:r>
      <w:r>
        <w:rPr>
          <w:rFonts w:ascii="Times New Roman" w:cs="Times New Roman" w:eastAsia="Times New Roman" w:hAnsi="Times New Roman"/>
          <w:sz w:val="18"/>
          <w:szCs w:val="18"/>
          <w:color w:val="auto"/>
        </w:rPr>
        <w:t>. The directors may elect one of their members to be Chairman of the Board of Directors. The Chairman shall be subject to the control of and may be removed by the Board of Directors. He shall perform such duties as may from time to time be assigned to him by the Board.</w:t>
      </w:r>
    </w:p>
    <w:p>
      <w:pPr>
        <w:spacing w:after="0" w:line="17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2.3 </w:t>
      </w:r>
      <w:r>
        <w:rPr>
          <w:rFonts w:ascii="Times New Roman" w:cs="Times New Roman" w:eastAsia="Times New Roman" w:hAnsi="Times New Roman"/>
          <w:sz w:val="18"/>
          <w:szCs w:val="18"/>
          <w:u w:val="single" w:color="auto"/>
          <w:color w:val="auto"/>
        </w:rPr>
        <w:t>MEETINGS</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firstLine="975"/>
        <w:spacing w:after="0" w:line="277" w:lineRule="auto"/>
        <w:tabs>
          <w:tab w:leader="none" w:pos="12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of the Board of Directors, for the election of officers and the transaction of such other business as may come before the meeting, shall be held without notice at the same place as, and immediately following, the annual meeting of the stockholders.</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Regular meetings of the Board of Directors may be held without notice at such time and place as shall from time to time be determined</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by the Board.</w:t>
      </w:r>
    </w:p>
    <w:p>
      <w:pPr>
        <w:spacing w:after="0" w:line="201" w:lineRule="exact"/>
        <w:rPr>
          <w:rFonts w:ascii="Times New Roman" w:cs="Times New Roman" w:eastAsia="Times New Roman" w:hAnsi="Times New Roman"/>
          <w:sz w:val="17"/>
          <w:szCs w:val="17"/>
          <w:color w:val="auto"/>
        </w:rPr>
      </w:pPr>
    </w:p>
    <w:p>
      <w:pPr>
        <w:ind w:right="480" w:firstLine="975"/>
        <w:spacing w:after="0" w:line="277" w:lineRule="auto"/>
        <w:tabs>
          <w:tab w:leader="none" w:pos="1223"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Special meetings of the Board of Directors shall be held at such time and place as shall be designated in the notice of the meeting whenever called by the Chairman of the Board, the Chief Executive Officer or by a majority of the directors then in office.</w:t>
      </w:r>
    </w:p>
    <w:p>
      <w:pPr>
        <w:spacing w:after="0" w:line="163" w:lineRule="exact"/>
        <w:rPr>
          <w:sz w:val="20"/>
          <w:szCs w:val="20"/>
          <w:color w:val="auto"/>
        </w:rPr>
      </w:pPr>
    </w:p>
    <w:p>
      <w:pPr>
        <w:ind w:right="12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2.4 </w:t>
      </w:r>
      <w:r>
        <w:rPr>
          <w:rFonts w:ascii="Times New Roman" w:cs="Times New Roman" w:eastAsia="Times New Roman" w:hAnsi="Times New Roman"/>
          <w:sz w:val="18"/>
          <w:szCs w:val="18"/>
          <w:u w:val="single" w:color="auto"/>
          <w:color w:val="auto"/>
        </w:rPr>
        <w:t>NOTICE OF SPECIAL MEETINGS</w:t>
      </w:r>
      <w:r>
        <w:rPr>
          <w:rFonts w:ascii="Times New Roman" w:cs="Times New Roman" w:eastAsia="Times New Roman" w:hAnsi="Times New Roman"/>
          <w:sz w:val="18"/>
          <w:szCs w:val="18"/>
          <w:color w:val="auto"/>
        </w:rPr>
        <w:t>. The Secretary, or in his absence any other officer of the Corporation, shall give each director notice of the time and place of holding of special meetings of the Board of Directors by mail at least two days before the meeting, or by telegram, cable or radiogram or personal service at least one day before the meeting. Unless otherwise stated in the notice thereof, any and all business may be transacted at any meeting without specification of such business in the notice.</w:t>
      </w:r>
    </w:p>
    <w:p>
      <w:pPr>
        <w:spacing w:after="0" w:line="182" w:lineRule="exact"/>
        <w:rPr>
          <w:sz w:val="20"/>
          <w:szCs w:val="20"/>
          <w:color w:val="auto"/>
        </w:rPr>
      </w:pPr>
    </w:p>
    <w:p>
      <w:pPr>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Section 2.5 </w:t>
      </w:r>
      <w:r>
        <w:rPr>
          <w:rFonts w:ascii="Times New Roman" w:cs="Times New Roman" w:eastAsia="Times New Roman" w:hAnsi="Times New Roman"/>
          <w:sz w:val="18"/>
          <w:szCs w:val="18"/>
          <w:u w:val="single" w:color="auto"/>
          <w:color w:val="auto"/>
        </w:rPr>
        <w:t>QUORUM AND ORGANIZATION OF MEETINGS</w:t>
      </w:r>
      <w:r>
        <w:rPr>
          <w:rFonts w:ascii="Times New Roman" w:cs="Times New Roman" w:eastAsia="Times New Roman" w:hAnsi="Times New Roman"/>
          <w:sz w:val="18"/>
          <w:szCs w:val="18"/>
          <w:color w:val="auto"/>
        </w:rPr>
        <w:t>. A majority of the total number of members of the Board of Directors as constituted from time to time shall constitute a quorum for the transaction of business, but if at any meeting of the Board of Directors there shall be less than a quorum present, a majority of those present may adjourn the meeting from time to time, and the meeting may be held as adjourned without further notice or waiver. Except as otherwise provided by law or by these Bylaws, a majority of the directors present at any meeting at which a quorum is present may decide any question brought before such meeting. Meetings shall be presided over by the Chairman of the Board, or in his absence by the Chief Executive Officer, or in the absence of both by such other persons as may be selected by the directors. The Secretary of the Corporation shall act as secretary of the meeting, but in his absence the chairman of the meeting may appoint any person to act as secretary of the meeting.</w:t>
      </w:r>
    </w:p>
    <w:p>
      <w:pPr>
        <w:spacing w:after="0" w:line="189" w:lineRule="exact"/>
        <w:rPr>
          <w:sz w:val="20"/>
          <w:szCs w:val="20"/>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2.6 </w:t>
      </w:r>
      <w:r>
        <w:rPr>
          <w:rFonts w:ascii="Times New Roman" w:cs="Times New Roman" w:eastAsia="Times New Roman" w:hAnsi="Times New Roman"/>
          <w:sz w:val="18"/>
          <w:szCs w:val="18"/>
          <w:u w:val="single" w:color="auto"/>
          <w:color w:val="auto"/>
        </w:rPr>
        <w:t>COMMITTEES</w:t>
      </w:r>
      <w:r>
        <w:rPr>
          <w:rFonts w:ascii="Times New Roman" w:cs="Times New Roman" w:eastAsia="Times New Roman" w:hAnsi="Times New Roman"/>
          <w:sz w:val="18"/>
          <w:szCs w:val="18"/>
          <w:color w:val="auto"/>
        </w:rPr>
        <w:t>. The Board of Directors may, by resolution passed by a majority of the whole Board, designate one or more committees, each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8" w:right="499" w:bottom="1440" w:gutter="0" w:footer="0" w:header="0"/>
        </w:sectPr>
      </w:pPr>
    </w:p>
    <w:bookmarkStart w:id="18" w:name="page19"/>
    <w:bookmarkEnd w:id="18"/>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 he or they constitute a quorum, may unanimously appoint another member of the Board of Directors to act at the meeting in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power or authority in reference to amending the Certificate of Incorporation of the Corporation, adopting an agreement of merger or consolidation, recommending to the stockholders the sale, lease or exchange of all or substantially all of the Corporation’s property and assets, recommending to the stockholders a dissolution of the Corporation or a revocation of dissolution, or amending these Bylaws; and, unless the resolution expressly so provided, no such committee shall have the power or authority to declare a dividend or to authorize the issuance of stock. Each committee which may be established by the Board of Directors or these Bylaws may fix its own rules and procedures. Notice of meetings of committees, other than of regular meetings provided for by the rules, shall be given to committee members. All action taken by committees shall be recorded in minutes of the meetings.</w:t>
      </w:r>
    </w:p>
    <w:p>
      <w:pPr>
        <w:spacing w:after="0" w:line="186" w:lineRule="exact"/>
        <w:rPr>
          <w:sz w:val="20"/>
          <w:szCs w:val="20"/>
          <w:color w:val="auto"/>
        </w:rPr>
      </w:pPr>
    </w:p>
    <w:p>
      <w:pPr>
        <w:jc w:val="both"/>
        <w:ind w:right="28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2.7 </w:t>
      </w:r>
      <w:r>
        <w:rPr>
          <w:rFonts w:ascii="Times New Roman" w:cs="Times New Roman" w:eastAsia="Times New Roman" w:hAnsi="Times New Roman"/>
          <w:sz w:val="18"/>
          <w:szCs w:val="18"/>
          <w:u w:val="single" w:color="auto"/>
          <w:color w:val="auto"/>
        </w:rPr>
        <w:t>ACTION WITHOUT MEETING</w:t>
      </w:r>
      <w:r>
        <w:rPr>
          <w:rFonts w:ascii="Times New Roman" w:cs="Times New Roman" w:eastAsia="Times New Roman" w:hAnsi="Times New Roman"/>
          <w:sz w:val="18"/>
          <w:szCs w:val="18"/>
          <w:color w:val="auto"/>
        </w:rPr>
        <w:t>. Any action required or permitted to be taken at any meeting of the Board of Directors, or of any committee thereof, may be taken without a meeting if all members of the Board or committee, as the case may be, consent thereto in writing, and the writing or writings are filed with the minutes of proceedings of the Board or committee.</w:t>
      </w:r>
    </w:p>
    <w:p>
      <w:pPr>
        <w:spacing w:after="0" w:line="177" w:lineRule="exact"/>
        <w:rPr>
          <w:sz w:val="20"/>
          <w:szCs w:val="20"/>
          <w:color w:val="auto"/>
        </w:rPr>
      </w:pPr>
    </w:p>
    <w:p>
      <w:pPr>
        <w:ind w:right="4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2.8 </w:t>
      </w:r>
      <w:r>
        <w:rPr>
          <w:rFonts w:ascii="Times New Roman" w:cs="Times New Roman" w:eastAsia="Times New Roman" w:hAnsi="Times New Roman"/>
          <w:sz w:val="18"/>
          <w:szCs w:val="18"/>
          <w:u w:val="single" w:color="auto"/>
          <w:color w:val="auto"/>
        </w:rPr>
        <w:t>TELEPHONE MEETINGS</w:t>
      </w:r>
      <w:r>
        <w:rPr>
          <w:rFonts w:ascii="Times New Roman" w:cs="Times New Roman" w:eastAsia="Times New Roman" w:hAnsi="Times New Roman"/>
          <w:sz w:val="18"/>
          <w:szCs w:val="18"/>
          <w:color w:val="auto"/>
        </w:rPr>
        <w:t>. Members of the Board of Directors, or any committee designated by the Board, may participate in a meeting of the Board, or committee, by means of conference telephone or similar communications equipment by means of which all persons participating in the meeting can hear each other, and participation in a meeting pursuant to this Section shall constitute presence in person at such meetings.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OFFICERS</w:t>
      </w:r>
    </w:p>
    <w:p>
      <w:pPr>
        <w:spacing w:after="0" w:line="224"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3.1 </w:t>
      </w:r>
      <w:r>
        <w:rPr>
          <w:rFonts w:ascii="Times New Roman" w:cs="Times New Roman" w:eastAsia="Times New Roman" w:hAnsi="Times New Roman"/>
          <w:sz w:val="18"/>
          <w:szCs w:val="18"/>
          <w:u w:val="single" w:color="auto"/>
          <w:color w:val="auto"/>
        </w:rPr>
        <w:t>EXECUTIVE OFFICERS</w:t>
      </w:r>
      <w:r>
        <w:rPr>
          <w:rFonts w:ascii="Times New Roman" w:cs="Times New Roman" w:eastAsia="Times New Roman" w:hAnsi="Times New Roman"/>
          <w:sz w:val="18"/>
          <w:szCs w:val="18"/>
          <w:color w:val="auto"/>
        </w:rPr>
        <w:t>. The executive officers of the Corporation shall be a Chief Executive Officer, Chief Financial Officer, and a Secretary, each of whom shall be elected by the Board of Directors. The Board of Directors may elect or appoint such other officers (including a Treasurer, a Controller and one or more Vice Presidents, Assistant Treasurers and Assistant Secretaries) as it may deem necessary or desirable, each of whom shall hold office for such term as may be prescribed by the Board of Directors from time to time. Any person may hold at one time two or more offices.</w:t>
      </w:r>
    </w:p>
    <w:p>
      <w:pPr>
        <w:spacing w:after="0" w:line="183" w:lineRule="exact"/>
        <w:rPr>
          <w:sz w:val="20"/>
          <w:szCs w:val="20"/>
          <w:color w:val="auto"/>
        </w:rPr>
      </w:pPr>
    </w:p>
    <w:p>
      <w:pPr>
        <w:ind w:right="20"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3.2 </w:t>
      </w:r>
      <w:r>
        <w:rPr>
          <w:rFonts w:ascii="Times New Roman" w:cs="Times New Roman" w:eastAsia="Times New Roman" w:hAnsi="Times New Roman"/>
          <w:sz w:val="18"/>
          <w:szCs w:val="18"/>
          <w:u w:val="single" w:color="auto"/>
          <w:color w:val="auto"/>
        </w:rPr>
        <w:t>POWERS AND DUTIES</w:t>
      </w:r>
      <w:r>
        <w:rPr>
          <w:rFonts w:ascii="Times New Roman" w:cs="Times New Roman" w:eastAsia="Times New Roman" w:hAnsi="Times New Roman"/>
          <w:sz w:val="18"/>
          <w:szCs w:val="18"/>
          <w:color w:val="auto"/>
        </w:rPr>
        <w:t>. The Chairman of the Board or, in his absence, the Chief Executive Officer, shall preside at all meetings of the stockholders and of the Board of Directors. In the absence of the Chairman, the Chief Executive Officer shall perform all the duties of the Chairman. The officers and agents of the Corporation shall each have such powers and perform such duties in the management of the business and affairs of the Corporation as generally pertain to their respective offices, as well as such powers and duties as from time to time may be prescribed by the Board of Directors.</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8" w:right="51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RESIGNATIONS, REMOVALS AND VACANCIES</w:t>
      </w:r>
    </w:p>
    <w:p>
      <w:pPr>
        <w:spacing w:after="0" w:line="224" w:lineRule="exact"/>
        <w:rPr>
          <w:sz w:val="20"/>
          <w:szCs w:val="20"/>
          <w:color w:val="auto"/>
        </w:rPr>
      </w:pPr>
    </w:p>
    <w:p>
      <w:pPr>
        <w:ind w:right="240"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4.1 </w:t>
      </w:r>
      <w:r>
        <w:rPr>
          <w:rFonts w:ascii="Times New Roman" w:cs="Times New Roman" w:eastAsia="Times New Roman" w:hAnsi="Times New Roman"/>
          <w:sz w:val="18"/>
          <w:szCs w:val="18"/>
          <w:u w:val="single" w:color="auto"/>
          <w:color w:val="auto"/>
        </w:rPr>
        <w:t>RESIGNATIONS</w:t>
      </w:r>
      <w:r>
        <w:rPr>
          <w:rFonts w:ascii="Times New Roman" w:cs="Times New Roman" w:eastAsia="Times New Roman" w:hAnsi="Times New Roman"/>
          <w:sz w:val="18"/>
          <w:szCs w:val="18"/>
          <w:color w:val="auto"/>
        </w:rPr>
        <w:t>. Any director or officer of the Corporation, or any member of any committee, may resign at any time by giving written notice to the Board of Directors, the Chairman of the Board of Directors, the Chief Executive Officer or the Secretary of the corporation. Any such resignation shall take effect at the time specified therein or, if the time be not specified therein, upon receipt thereof. The acceptance of such resignation shall not be necessary to make it effective.</w:t>
      </w:r>
    </w:p>
    <w:p>
      <w:pPr>
        <w:spacing w:after="0" w:line="182" w:lineRule="exact"/>
        <w:rPr>
          <w:sz w:val="20"/>
          <w:szCs w:val="20"/>
          <w:color w:val="auto"/>
        </w:rPr>
      </w:pPr>
    </w:p>
    <w:p>
      <w:pPr>
        <w:ind w:right="1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4.2 </w:t>
      </w:r>
      <w:r>
        <w:rPr>
          <w:rFonts w:ascii="Times New Roman" w:cs="Times New Roman" w:eastAsia="Times New Roman" w:hAnsi="Times New Roman"/>
          <w:sz w:val="18"/>
          <w:szCs w:val="18"/>
          <w:u w:val="single" w:color="auto"/>
          <w:color w:val="auto"/>
        </w:rPr>
        <w:t>REMOVALS</w:t>
      </w:r>
      <w:r>
        <w:rPr>
          <w:rFonts w:ascii="Times New Roman" w:cs="Times New Roman" w:eastAsia="Times New Roman" w:hAnsi="Times New Roman"/>
          <w:sz w:val="18"/>
          <w:szCs w:val="18"/>
          <w:color w:val="auto"/>
        </w:rPr>
        <w:t>. The Board of Directors, at any meeting thereof, or by written consent, may, to the extent permitted by law, at any time, remove with or without cause from office or terminate the employment of any officer or member of any committee.</w:t>
      </w:r>
    </w:p>
    <w:p>
      <w:pPr>
        <w:spacing w:after="0" w:line="163" w:lineRule="exact"/>
        <w:rPr>
          <w:sz w:val="20"/>
          <w:szCs w:val="20"/>
          <w:color w:val="auto"/>
        </w:rPr>
      </w:pPr>
    </w:p>
    <w:p>
      <w:pPr>
        <w:jc w:val="both"/>
        <w:ind w:right="160" w:firstLine="436"/>
        <w:spacing w:after="0" w:line="262" w:lineRule="auto"/>
        <w:rPr>
          <w:sz w:val="20"/>
          <w:szCs w:val="20"/>
          <w:color w:val="auto"/>
        </w:rPr>
      </w:pPr>
      <w:r>
        <w:rPr>
          <w:rFonts w:ascii="Times New Roman" w:cs="Times New Roman" w:eastAsia="Times New Roman" w:hAnsi="Times New Roman"/>
          <w:sz w:val="18"/>
          <w:szCs w:val="18"/>
          <w:color w:val="auto"/>
        </w:rPr>
        <w:t xml:space="preserve">Section 4.3 </w:t>
      </w:r>
      <w:r>
        <w:rPr>
          <w:rFonts w:ascii="Times New Roman" w:cs="Times New Roman" w:eastAsia="Times New Roman" w:hAnsi="Times New Roman"/>
          <w:sz w:val="18"/>
          <w:szCs w:val="18"/>
          <w:u w:val="single" w:color="auto"/>
          <w:color w:val="auto"/>
        </w:rPr>
        <w:t>VACANCIES</w:t>
      </w:r>
      <w:r>
        <w:rPr>
          <w:rFonts w:ascii="Times New Roman" w:cs="Times New Roman" w:eastAsia="Times New Roman" w:hAnsi="Times New Roman"/>
          <w:sz w:val="18"/>
          <w:szCs w:val="18"/>
          <w:color w:val="auto"/>
        </w:rPr>
        <w:t>. Any vacancy in the office of any officer through death, resignation, removal, disqualification or other cause, may be filled at any time by a majority of the directors then in office (even though less than a quorum) and, subject to the provisions of this Article, the person chosen shall hold office until his successor shall have been chosen and shall have qualified.</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CAPITAL STOCK</w:t>
      </w:r>
    </w:p>
    <w:p>
      <w:pPr>
        <w:spacing w:after="0" w:line="224"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5.1 </w:t>
      </w:r>
      <w:r>
        <w:rPr>
          <w:rFonts w:ascii="Times New Roman" w:cs="Times New Roman" w:eastAsia="Times New Roman" w:hAnsi="Times New Roman"/>
          <w:sz w:val="18"/>
          <w:szCs w:val="18"/>
          <w:u w:val="single" w:color="auto"/>
          <w:color w:val="auto"/>
        </w:rPr>
        <w:t>STOCK CERTIFICATES</w:t>
      </w:r>
      <w:r>
        <w:rPr>
          <w:rFonts w:ascii="Times New Roman" w:cs="Times New Roman" w:eastAsia="Times New Roman" w:hAnsi="Times New Roman"/>
          <w:sz w:val="18"/>
          <w:szCs w:val="18"/>
          <w:color w:val="auto"/>
        </w:rPr>
        <w:t>. The shares of capital stock of the Corporation shall be represented by a certificate, unless and until the Board of Directors of the Corporation adopts a resolution permitting shares to be uncertificated. Notwithstanding the adoption of any such resolution providing for uncertificated shares, every holder of capital stock of the Corporation theretofore represented by certificates and, upon request, every holder of uncertificated shares, shall be entitled to have a certificate for shares of capital stock of the Corporation signed by, or in the name of the Corporation by, (a) the Chairman of the Board, the Chief Executive Officer or the Chief Financial Officer and (b) any Vice President, the Secretary or an Assistant Secretary, certifying the number of shares owned by such stockholder in the Corporation.</w:t>
      </w:r>
    </w:p>
    <w:p>
      <w:pPr>
        <w:spacing w:after="0" w:line="187"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Section 5.2 </w:t>
      </w:r>
      <w:r>
        <w:rPr>
          <w:rFonts w:ascii="Times New Roman" w:cs="Times New Roman" w:eastAsia="Times New Roman" w:hAnsi="Times New Roman"/>
          <w:sz w:val="18"/>
          <w:szCs w:val="18"/>
          <w:u w:val="single" w:color="auto"/>
          <w:color w:val="auto"/>
        </w:rPr>
        <w:t>TRANSFER OF SHARES</w:t>
      </w:r>
      <w:r>
        <w:rPr>
          <w:rFonts w:ascii="Times New Roman" w:cs="Times New Roman" w:eastAsia="Times New Roman" w:hAnsi="Times New Roman"/>
          <w:sz w:val="18"/>
          <w:szCs w:val="18"/>
          <w:color w:val="auto"/>
        </w:rPr>
        <w:t>. Stock of the Corporation shall be transferable in the manner prescribed by applicable law and in these Bylaws. Transfers of stock shall be made on the books of the Corporation, and in the case of certificated shares of stock, only by the person named in the certificate or by such person’s attorney lawfully constituted in writing and upon the surrender of the certificate therefor, properly endorsed for transfer and payment of all necessary transfer taxes; or, in the case of uncertificated shares of stock, upon receipt of proper transfer instructions from the registered holder of the shares or by such person’s attorney lawfully constituted in writing, and upon payment of all necessary transfer taxes and compliance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4" w:right="519" w:bottom="1440" w:gutter="0" w:footer="0" w:header="0"/>
        </w:sectPr>
      </w:pPr>
    </w:p>
    <w:bookmarkStart w:id="20" w:name="page21"/>
    <w:bookmarkEnd w:id="20"/>
    <w:p>
      <w:pPr>
        <w:ind w:right="12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with appropriate procedures for transferring shares in uncertificated form; provided, however, that such surrender and endorsement, compliance or payment of taxes shall not be required in any case in which the officers of the Corporation shall determine to waive such requirement. With respect to certificated shares of stock, every certificate exchanged, returned or surrendered to the Corporation shall be marked “Cancelled,” with the date of cancellation, by the Secretary or Assistant Secretary of the Corporation or the transfer agent thereof. No transfer of stock shall be valid as against the Corporation for any purpose until it shall have been entered in the stock records of the Corporation by an entry showing from and to whom transferred.</w:t>
      </w:r>
    </w:p>
    <w:p>
      <w:pPr>
        <w:spacing w:after="0" w:line="171"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Section 5.3 </w:t>
      </w:r>
      <w:r>
        <w:rPr>
          <w:rFonts w:ascii="Times New Roman" w:cs="Times New Roman" w:eastAsia="Times New Roman" w:hAnsi="Times New Roman"/>
          <w:sz w:val="18"/>
          <w:szCs w:val="18"/>
          <w:u w:val="single" w:color="auto"/>
          <w:color w:val="auto"/>
        </w:rPr>
        <w:t>FIXING RECORD DATE</w:t>
      </w:r>
      <w:r>
        <w:rPr>
          <w:rFonts w:ascii="Times New Roman" w:cs="Times New Roman" w:eastAsia="Times New Roman" w:hAnsi="Times New Roman"/>
          <w:sz w:val="18"/>
          <w:szCs w:val="18"/>
          <w:color w:val="auto"/>
        </w:rPr>
        <w:t>. In order that the Corporation may determine the stockholders entitled to notice of or to vote at any meeting of stockholders or any adjournment thereof, or entitled to receive payment of any dividend or other distribution or allotment of any rights, or entitled to exercise any rights in respect of any change, conversion or exchange of stock or for the purpose of any other lawful action, the Board of Directors may fix, in advance, a record date, which shall not be more than sixty nor less than ten days before the date of such meeting, nor more than sixty days prior to any other action.</w:t>
      </w:r>
    </w:p>
    <w:p>
      <w:pPr>
        <w:spacing w:after="0" w:line="183" w:lineRule="exact"/>
        <w:rPr>
          <w:sz w:val="20"/>
          <w:szCs w:val="20"/>
          <w:color w:val="auto"/>
        </w:rPr>
      </w:pPr>
    </w:p>
    <w:p>
      <w:pPr>
        <w:ind w:right="54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5.4 </w:t>
      </w:r>
      <w:r>
        <w:rPr>
          <w:rFonts w:ascii="Times New Roman" w:cs="Times New Roman" w:eastAsia="Times New Roman" w:hAnsi="Times New Roman"/>
          <w:sz w:val="18"/>
          <w:szCs w:val="18"/>
          <w:u w:val="single" w:color="auto"/>
          <w:color w:val="auto"/>
        </w:rPr>
        <w:t>REGULATIONS</w:t>
      </w:r>
      <w:r>
        <w:rPr>
          <w:rFonts w:ascii="Times New Roman" w:cs="Times New Roman" w:eastAsia="Times New Roman" w:hAnsi="Times New Roman"/>
          <w:sz w:val="18"/>
          <w:szCs w:val="18"/>
          <w:color w:val="auto"/>
        </w:rPr>
        <w:t>. The Board of Directors shall have power and authority to make all such rules and regulations as it may deem expedient concerning the issue, transfer, registration, cancellation and replacement of certificates for shares of stock of the Corporation.</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24" w:lineRule="exact"/>
        <w:rPr>
          <w:sz w:val="20"/>
          <w:szCs w:val="20"/>
          <w:color w:val="auto"/>
        </w:rPr>
      </w:pPr>
    </w:p>
    <w:p>
      <w:pPr>
        <w:ind w:right="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6.1 </w:t>
      </w:r>
      <w:r>
        <w:rPr>
          <w:rFonts w:ascii="Times New Roman" w:cs="Times New Roman" w:eastAsia="Times New Roman" w:hAnsi="Times New Roman"/>
          <w:sz w:val="18"/>
          <w:szCs w:val="18"/>
          <w:u w:val="single" w:color="auto"/>
          <w:color w:val="auto"/>
        </w:rPr>
        <w:t>CORPORATE SEAL</w:t>
      </w:r>
      <w:r>
        <w:rPr>
          <w:rFonts w:ascii="Times New Roman" w:cs="Times New Roman" w:eastAsia="Times New Roman" w:hAnsi="Times New Roman"/>
          <w:sz w:val="18"/>
          <w:szCs w:val="18"/>
          <w:color w:val="auto"/>
        </w:rPr>
        <w:t>. The corporate seal shall have inscribed thereon the name of the Corporation, the year of its organization and the words “Corporate Seal” and “Delaware.”</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6.2 </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The fiscal year of the Corporation shall be determined by resolution of the Board of Directors.</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Section 6.3 </w:t>
      </w:r>
      <w:r>
        <w:rPr>
          <w:rFonts w:ascii="Times New Roman" w:cs="Times New Roman" w:eastAsia="Times New Roman" w:hAnsi="Times New Roman"/>
          <w:sz w:val="18"/>
          <w:szCs w:val="18"/>
          <w:u w:val="single" w:color="auto"/>
          <w:color w:val="auto"/>
        </w:rPr>
        <w:t>NOTICES AND WAIVERS THEREOF</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jc w:val="both"/>
        <w:ind w:right="100" w:firstLine="975"/>
        <w:spacing w:after="0" w:line="255" w:lineRule="auto"/>
        <w:tabs>
          <w:tab w:leader="none" w:pos="122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any notice whatever is required by these Bylaws or by the certificate of incorporation, or by any law to be given to any stockholder, director or officer, such notice, except as otherwise provided by law, may be given personally or by mail, or, in the case of directors or officers, by telegram, cable or radiogram, addressed to such address as appears on the books of the Corporation. Any notice given by telegram, cable or radiogram shall be deemed to have been given when it shall have been delivered for transmission and any notice given by mail shall be deemed to have been given when it shall have been deposited in the United States mail with postage thereon prepaid.</w:t>
      </w:r>
    </w:p>
    <w:p>
      <w:pPr>
        <w:spacing w:after="0" w:line="182" w:lineRule="exact"/>
        <w:rPr>
          <w:rFonts w:ascii="Times New Roman" w:cs="Times New Roman" w:eastAsia="Times New Roman" w:hAnsi="Times New Roman"/>
          <w:sz w:val="18"/>
          <w:szCs w:val="18"/>
          <w:color w:val="auto"/>
        </w:rPr>
      </w:pPr>
    </w:p>
    <w:p>
      <w:pPr>
        <w:jc w:val="both"/>
        <w:ind w:right="120" w:firstLine="975"/>
        <w:spacing w:after="0" w:line="262" w:lineRule="auto"/>
        <w:tabs>
          <w:tab w:leader="none" w:pos="123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notice is required to be given by any statute, the Certificate of Incorporation or these Bylaws, a waiver thereof in writing, signed by the person or persons entitled to such notice, whether before or after the meeting or the time stated therein, shall be deemed equivalent in all respects to such notice.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880"/>
          </w:cols>
          <w:pgMar w:left="500" w:top="268" w:right="519" w:bottom="1440" w:gutter="0" w:footer="0" w:header="0"/>
        </w:sectPr>
      </w:pPr>
    </w:p>
    <w:bookmarkStart w:id="21" w:name="page22"/>
    <w:bookmarkEnd w:id="21"/>
    <w:p>
      <w:pPr>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Section 6.4 </w:t>
      </w:r>
      <w:r>
        <w:rPr>
          <w:rFonts w:ascii="Times New Roman" w:cs="Times New Roman" w:eastAsia="Times New Roman" w:hAnsi="Times New Roman"/>
          <w:sz w:val="18"/>
          <w:szCs w:val="18"/>
          <w:u w:val="single" w:color="auto"/>
          <w:color w:val="auto"/>
        </w:rPr>
        <w:t>STOCK OF OTHER CORPORATIONS OR OTHER INTERESTS</w:t>
      </w:r>
      <w:r>
        <w:rPr>
          <w:rFonts w:ascii="Times New Roman" w:cs="Times New Roman" w:eastAsia="Times New Roman" w:hAnsi="Times New Roman"/>
          <w:sz w:val="18"/>
          <w:szCs w:val="18"/>
          <w:color w:val="auto"/>
        </w:rPr>
        <w:t>. Unless otherwise directed by the Board of Directors, the Chairman, the Chief Executive Officer, the Secretary and such attorneys or agents of the Corporation as may be from time to time authorized by the Board of Directors or the Chairman shall have full power and authority on behalf of this Corporation to attend, and to act and vote in person or by proxy at, any meeting of the holders of securities of any corporation or other entity in which this Corporation may own or hold shares or other securities, and at such meetings such persons shall possess and may exercise all the rights and powers incident to the ownership of such shares or other securities which this Corporation, as the owner or holder thereof, might have possessed and exercised if present. The Chairman, the Chief Executive Officer, the Secretary or such attorneys or agents may also execute and deliver on behalf of the Corporation powers of attorney, proxies, consents, waivers and other instruments relating to the shares or securities owned or held by this Corporation.</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AMENDMENT</w:t>
      </w:r>
    </w:p>
    <w:p>
      <w:pPr>
        <w:spacing w:after="0" w:line="224" w:lineRule="exact"/>
        <w:rPr>
          <w:sz w:val="20"/>
          <w:szCs w:val="20"/>
          <w:color w:val="auto"/>
        </w:rPr>
      </w:pPr>
    </w:p>
    <w:p>
      <w:pPr>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Section 7.1 </w:t>
      </w: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xml:space="preserve">. These Bylaws may be altered, amended or repealed, in whole or in part, or new bylaws may be adopted by the stockholders or by the Board of Directors;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notice of such alteration, amendment, repeal or adoption of new bylaws be contained in the notice of such meeting of the stockholders or Board of Directors, as the case may be. All such amendments must be approved by either the holders of a majority of outstanding capital stock entitled to vote thereon or by a majority of the entire Board of Directors then in office.</w:t>
      </w:r>
    </w:p>
    <w:p>
      <w:pPr>
        <w:spacing w:after="0" w:line="182" w:lineRule="exact"/>
        <w:rPr>
          <w:sz w:val="20"/>
          <w:szCs w:val="20"/>
          <w:color w:val="auto"/>
        </w:rPr>
      </w:pPr>
    </w:p>
    <w:p>
      <w:pPr>
        <w:ind w:right="200" w:firstLine="436"/>
        <w:spacing w:after="0" w:line="277" w:lineRule="auto"/>
        <w:rPr>
          <w:sz w:val="20"/>
          <w:szCs w:val="20"/>
          <w:color w:val="auto"/>
        </w:rPr>
      </w:pPr>
      <w:r>
        <w:rPr>
          <w:rFonts w:ascii="Times New Roman" w:cs="Times New Roman" w:eastAsia="Times New Roman" w:hAnsi="Times New Roman"/>
          <w:sz w:val="18"/>
          <w:szCs w:val="18"/>
          <w:color w:val="auto"/>
        </w:rPr>
        <w:t xml:space="preserve">Section 7.2 </w:t>
      </w:r>
      <w:r>
        <w:rPr>
          <w:rFonts w:ascii="Times New Roman" w:cs="Times New Roman" w:eastAsia="Times New Roman" w:hAnsi="Times New Roman"/>
          <w:sz w:val="18"/>
          <w:szCs w:val="18"/>
          <w:u w:val="single" w:color="auto"/>
          <w:color w:val="auto"/>
        </w:rPr>
        <w:t>ENTIRE BOARD OF DIRECTORS</w:t>
      </w:r>
      <w:r>
        <w:rPr>
          <w:rFonts w:ascii="Times New Roman" w:cs="Times New Roman" w:eastAsia="Times New Roman" w:hAnsi="Times New Roman"/>
          <w:sz w:val="18"/>
          <w:szCs w:val="18"/>
          <w:color w:val="auto"/>
        </w:rPr>
        <w:t>. As used in this Article VII and in these Bylaws generally, the term “entire Board of Directors” means the total number of directors which the Corporation would have if there were no vacancies.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880"/>
          </w:cols>
          <w:pgMar w:left="500" w:top="268" w:right="5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4.3</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Midera Food Processing, Inc. 2026 Long-Term Incentive Plan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14"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The Midera Food Processing, Inc. 2026 Long-Term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is intended to promote the interests of Midera Food Processing,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its stockholders by providing officers and other employees of the Company and its affiliates (including directors who are also employees of the Company or its affiliates) with appropriate incentives and rewards to encourage them to enter into and continue in the employ of the Company and its affiliates and to acquire a proprietary interest in the long-term success of the Company; and to reward the performance of individual officers, other employees, non-employee directors and consultants in fulfilling their personal responsibilities for long-range achievements. The Plan is also designed to encourage stock ownership by such persons, thereby aligning their interest with those of the Company’s stockholders. The Plan has been adopted and approved by the Board (defined below) and shall become effective as of June 20, 2026 (the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 subject to the approval of the stockholders of the Company.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14" w:lineRule="exact"/>
        <w:rPr>
          <w:sz w:val="20"/>
          <w:szCs w:val="20"/>
          <w:color w:val="auto"/>
        </w:rPr>
      </w:pPr>
    </w:p>
    <w:p>
      <w:pPr>
        <w:ind w:right="4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Award Agreement</w:t>
      </w:r>
      <w:r>
        <w:rPr>
          <w:rFonts w:ascii="Times New Roman" w:cs="Times New Roman" w:eastAsia="Times New Roman" w:hAnsi="Times New Roman"/>
          <w:sz w:val="18"/>
          <w:szCs w:val="18"/>
          <w:color w:val="auto"/>
        </w:rPr>
        <w:t>” means an agreement described in Section 3.2 between the Company and an Eligible Participant, setting forth the terms and conditions of an Award granted to an Eligible Participant.</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means the Company’s Board of Directors.</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shall occur on the date on which:</w:t>
      </w:r>
    </w:p>
    <w:p>
      <w:pPr>
        <w:spacing w:after="0" w:line="118" w:lineRule="exact"/>
        <w:rPr>
          <w:sz w:val="20"/>
          <w:szCs w:val="20"/>
          <w:color w:val="auto"/>
        </w:rPr>
      </w:pPr>
    </w:p>
    <w:p>
      <w:pPr>
        <w:ind w:left="420" w:right="20" w:firstLine="1370"/>
        <w:spacing w:after="0" w:line="277" w:lineRule="auto"/>
        <w:tabs>
          <w:tab w:leader="none" w:pos="20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defined below) becomes the beneficial owner directly or indirectly (within the meaning of Rule 13d-3 under the Exchange Act) of more than 35% of the Company’s then outstanding voting securities (measured on the basis of voting power);</w:t>
      </w:r>
    </w:p>
    <w:p>
      <w:pPr>
        <w:spacing w:after="0" w:line="56" w:lineRule="exact"/>
        <w:rPr>
          <w:rFonts w:ascii="Times New Roman" w:cs="Times New Roman" w:eastAsia="Times New Roman" w:hAnsi="Times New Roman"/>
          <w:sz w:val="18"/>
          <w:szCs w:val="18"/>
          <w:color w:val="auto"/>
        </w:rPr>
      </w:pPr>
    </w:p>
    <w:p>
      <w:pPr>
        <w:ind w:left="420" w:right="20" w:firstLine="1370"/>
        <w:spacing w:after="0" w:line="252" w:lineRule="auto"/>
        <w:tabs>
          <w:tab w:leader="none" w:pos="2032"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consummated a merger or consolidation, other than (i) a merger or consolidation immediately following which the voting securities of the Company outstanding immediately prior thereto continue to represent (either by remaining outstanding or by being converted into voting securities of the surviving entity or any parent thereof), in combination with the ownership of any trustee or other fiduciary holding securities under an employee benefit plan of the Company, at least 50% of the combined voting power of the voting securities of the Company, such surviving entity or any parent thereof outstanding immediately after such merger or consolidation, or (ii) a merger or consolidation effected to implement a recapitalization of the Company (or similar transaction) in which no Person acquires more than 35% of the combined voting power of the Company’s then outstanding securities;</w:t>
      </w:r>
    </w:p>
    <w:p>
      <w:pPr>
        <w:sectPr>
          <w:pgSz w:w="11900" w:h="16838" w:orient="portrait"/>
          <w:cols w:equalWidth="0" w:num="1">
            <w:col w:w="10900"/>
          </w:cols>
          <w:pgMar w:left="500" w:top="117" w:right="499" w:bottom="1440" w:gutter="0" w:footer="0" w:header="0"/>
        </w:sectPr>
      </w:pPr>
    </w:p>
    <w:bookmarkStart w:id="23" w:name="page24"/>
    <w:bookmarkEnd w:id="23"/>
    <w:p>
      <w:pPr>
        <w:ind w:left="420" w:right="20" w:firstLine="1370"/>
        <w:spacing w:after="0" w:line="253" w:lineRule="auto"/>
        <w:tabs>
          <w:tab w:leader="none" w:pos="20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individuals who, as of the Effective Date, constituted the Board (the “</w:t>
      </w:r>
      <w:r>
        <w:rPr>
          <w:rFonts w:ascii="Times New Roman" w:cs="Times New Roman" w:eastAsia="Times New Roman" w:hAnsi="Times New Roman"/>
          <w:sz w:val="18"/>
          <w:szCs w:val="18"/>
          <w:b w:val="1"/>
          <w:bCs w:val="1"/>
          <w:color w:val="auto"/>
        </w:rPr>
        <w:t>Incumbent Board</w:t>
      </w:r>
      <w:r>
        <w:rPr>
          <w:rFonts w:ascii="Times New Roman" w:cs="Times New Roman" w:eastAsia="Times New Roman" w:hAnsi="Times New Roman"/>
          <w:sz w:val="18"/>
          <w:szCs w:val="18"/>
          <w:color w:val="auto"/>
        </w:rPr>
        <w:t>”) cease for any reason to constitute at least a majority of the Board; provided, however, that any individual becoming a director subsequent to the Effective Date whose election, or nomination for election by the 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or other actual or threatened solicitation of proxies or consents by or on behalf of a Person other than the Board; or</w:t>
      </w:r>
    </w:p>
    <w:p>
      <w:pPr>
        <w:spacing w:after="0" w:line="79" w:lineRule="exact"/>
        <w:rPr>
          <w:rFonts w:ascii="Times New Roman" w:cs="Times New Roman" w:eastAsia="Times New Roman" w:hAnsi="Times New Roman"/>
          <w:sz w:val="18"/>
          <w:szCs w:val="18"/>
          <w:color w:val="auto"/>
        </w:rPr>
      </w:pPr>
    </w:p>
    <w:p>
      <w:pPr>
        <w:ind w:left="420" w:right="680" w:firstLine="1370"/>
        <w:spacing w:after="0" w:line="277" w:lineRule="auto"/>
        <w:tabs>
          <w:tab w:leader="none" w:pos="2032"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stockholders of the Company approve a plan of complete liquidation or dissolution of the Company or there is consummated an agreement for the sale or disposition by the Company of all or substantially all of the Company’s assets.</w:t>
      </w:r>
    </w:p>
    <w:p>
      <w:pPr>
        <w:spacing w:after="0" w:line="163" w:lineRule="exact"/>
        <w:rPr>
          <w:sz w:val="20"/>
          <w:szCs w:val="20"/>
          <w:color w:val="auto"/>
        </w:rPr>
      </w:pPr>
    </w:p>
    <w:p>
      <w:pPr>
        <w:ind w:right="40" w:firstLine="436"/>
        <w:spacing w:after="0" w:line="252" w:lineRule="auto"/>
        <w:rPr>
          <w:sz w:val="20"/>
          <w:szCs w:val="20"/>
          <w:color w:val="auto"/>
        </w:rPr>
      </w:pPr>
      <w:r>
        <w:rPr>
          <w:rFonts w:ascii="Times New Roman" w:cs="Times New Roman" w:eastAsia="Times New Roman" w:hAnsi="Times New Roman"/>
          <w:sz w:val="18"/>
          <w:szCs w:val="18"/>
          <w:color w:val="auto"/>
        </w:rPr>
        <w:t>Notwithstanding the foregoing, (x) a “Change of Control” shall not be deemed to have occurred by virtue of the consummation of any transaction or series of integrated transactions immediately following which the record holders of the common stock of the Company immediately prior to such transaction or series of transactions continue to have substantially the same proportionate ownership in an entity which owns all or substantially all of the assets of the Company immediately following such transaction or series of transactions; and (y) for each Grant that constitutes deferred compensation under Section 409A of the Code, and to the extent required to avoid accelerated taxation and/or tax penalties under Section 409A of the Code, a Change of Control shall be deemed to have occurred under the Plan with respect to such Grant only if a change in the ownership or effective control of the Company or a change in ownership of a substantial portion of the assets of the Company shall also be deemed to have occurred under Section 409A of the Code.</w:t>
      </w:r>
    </w:p>
    <w:p>
      <w:pPr>
        <w:spacing w:after="0" w:line="181" w:lineRule="exact"/>
        <w:rPr>
          <w:sz w:val="20"/>
          <w:szCs w:val="20"/>
          <w:color w:val="auto"/>
        </w:rPr>
      </w:pPr>
    </w:p>
    <w:p>
      <w:pPr>
        <w:ind w:right="120" w:firstLine="436"/>
        <w:spacing w:after="0" w:line="256" w:lineRule="auto"/>
        <w:rPr>
          <w:sz w:val="20"/>
          <w:szCs w:val="20"/>
          <w:color w:val="auto"/>
        </w:rPr>
      </w:pPr>
      <w:r>
        <w:rPr>
          <w:rFonts w:ascii="Times New Roman" w:cs="Times New Roman" w:eastAsia="Times New Roman" w:hAnsi="Times New Roman"/>
          <w:sz w:val="18"/>
          <w:szCs w:val="18"/>
          <w:color w:val="auto"/>
        </w:rPr>
        <w:t>For purposes of the Plan, “</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shall have the meaning given in Section 3(a)(9) of the Exchange Act, as modified and used in Sections 13(d) and 14(d) thereof; however, a Person shall not include (w) the Company or any of its subsidiaries, (x) a trustee or other fiduciary holding securities under an employee benefit plan of the Company or any of its subsidiaries, (y) an underwriter temporarily holding securities pursuant to an offering of such securities, or (z) a corporation owned, directly or indirectly, by the stockholders of the Company in substantially the same proportions as their ownership of Stock.</w:t>
      </w:r>
    </w:p>
    <w:p>
      <w:pPr>
        <w:spacing w:after="0" w:line="17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0"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Committee</w:t>
      </w:r>
      <w:r>
        <w:rPr>
          <w:rFonts w:ascii="Times New Roman" w:cs="Times New Roman" w:eastAsia="Times New Roman" w:hAnsi="Times New Roman"/>
          <w:sz w:val="18"/>
          <w:szCs w:val="18"/>
          <w:color w:val="auto"/>
        </w:rPr>
        <w:t>” means any committee or subcommittee the Board may appoint to administer the Plan. Subject to the discretion of the Board, the Committee shall be composed entirely of individuals who meet the qualifications of a Non-Employee Director. If at any time or to any extent the Board shall not administer the Plan, then the functions of the administrator specified in the Plan shall be exercised by the Committee.</w:t>
      </w:r>
    </w:p>
    <w:p>
      <w:pPr>
        <w:spacing w:after="0" w:line="1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means Midera Food Processing, Inc., a Delaware corporation.</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840"/>
          </w:cols>
          <w:pgMar w:left="500" w:top="264" w:right="559" w:bottom="1440" w:gutter="0" w:footer="0" w:header="0"/>
        </w:sectPr>
      </w:pPr>
    </w:p>
    <w:bookmarkStart w:id="24" w:name="page25"/>
    <w:bookmarkEnd w:id="24"/>
    <w:p>
      <w:pPr>
        <w:jc w:val="both"/>
        <w:ind w:right="380" w:firstLine="436"/>
        <w:spacing w:after="0" w:line="265"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Date of Grant</w:t>
      </w:r>
      <w:r>
        <w:rPr>
          <w:rFonts w:ascii="Times New Roman" w:cs="Times New Roman" w:eastAsia="Times New Roman" w:hAnsi="Times New Roman"/>
          <w:sz w:val="18"/>
          <w:szCs w:val="18"/>
          <w:color w:val="auto"/>
        </w:rPr>
        <w:t>” means the date specified by the Committee as the date on which a Grant is to be granted (which date may be no earlier than the date the resolution approving the Grant is adopted by the Committee), or if no such date is specified by the Committee, the date on which the Committee adopts a resolution making the Grant.</w:t>
      </w:r>
    </w:p>
    <w:p>
      <w:pPr>
        <w:spacing w:after="0" w:line="169" w:lineRule="exact"/>
        <w:rPr>
          <w:sz w:val="20"/>
          <w:szCs w:val="20"/>
          <w:color w:val="auto"/>
        </w:rPr>
      </w:pPr>
    </w:p>
    <w:p>
      <w:pPr>
        <w:ind w:firstLine="436"/>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1.8</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DDE</w:t>
      </w:r>
      <w:r>
        <w:rPr>
          <w:rFonts w:ascii="Times New Roman" w:cs="Times New Roman" w:eastAsia="Times New Roman" w:hAnsi="Times New Roman"/>
          <w:sz w:val="17"/>
          <w:szCs w:val="17"/>
          <w:color w:val="auto"/>
        </w:rPr>
        <w:t>” means a deferred Dividend Equivalent Right, which is a Dividend Equivalent Right that is accrued during the restricted period set forth in an Award Agreement and that becomes payable to an Eligible Participant upon the expiration or termination of such restricted period.</w:t>
      </w:r>
    </w:p>
    <w:p>
      <w:pPr>
        <w:spacing w:after="0" w:line="133" w:lineRule="exact"/>
        <w:rPr>
          <w:sz w:val="20"/>
          <w:szCs w:val="20"/>
          <w:color w:val="auto"/>
        </w:rPr>
      </w:pPr>
    </w:p>
    <w:p>
      <w:pPr>
        <w:jc w:val="both"/>
        <w:ind w:right="160" w:firstLine="436"/>
        <w:spacing w:after="0" w:line="265" w:lineRule="auto"/>
        <w:rPr>
          <w:sz w:val="20"/>
          <w:szCs w:val="20"/>
          <w:color w:val="auto"/>
        </w:rPr>
      </w:pPr>
      <w:r>
        <w:rPr>
          <w:rFonts w:ascii="Times New Roman" w:cs="Times New Roman" w:eastAsia="Times New Roman" w:hAnsi="Times New Roman"/>
          <w:sz w:val="18"/>
          <w:szCs w:val="18"/>
          <w:u w:val="single" w:color="auto"/>
          <w:color w:val="auto"/>
        </w:rPr>
        <w:t>Section 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Dividend Equivalent Right</w:t>
      </w:r>
      <w:r>
        <w:rPr>
          <w:rFonts w:ascii="Times New Roman" w:cs="Times New Roman" w:eastAsia="Times New Roman" w:hAnsi="Times New Roman"/>
          <w:sz w:val="18"/>
          <w:szCs w:val="18"/>
          <w:color w:val="auto"/>
        </w:rPr>
        <w:t>” means the right of an Eligible Participant, granted at the discretion of the Committee or as otherwise provided by the Plan, to receive a credit for the account of such Eligible Participant in an amount equal to the cash dividends paid on one (1) Share for each Share represented by an Award held by such Eligible Participant.</w:t>
      </w:r>
    </w:p>
    <w:p>
      <w:pPr>
        <w:spacing w:after="0" w:line="169" w:lineRule="exact"/>
        <w:rPr>
          <w:sz w:val="20"/>
          <w:szCs w:val="20"/>
          <w:color w:val="auto"/>
        </w:rPr>
      </w:pPr>
    </w:p>
    <w:p>
      <w:pPr>
        <w:jc w:val="both"/>
        <w:ind w:right="16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Eligible Participant</w:t>
      </w:r>
      <w:r>
        <w:rPr>
          <w:rFonts w:ascii="Times New Roman" w:cs="Times New Roman" w:eastAsia="Times New Roman" w:hAnsi="Times New Roman"/>
          <w:sz w:val="18"/>
          <w:szCs w:val="18"/>
          <w:color w:val="auto"/>
        </w:rPr>
        <w:t>” means any employee of an Employer, any Non-Employee Director of the Company or service provider, not employed as an employee, providing services to the Company or an affiliate or subsidiary of the Company.</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Employer</w:t>
      </w:r>
      <w:r>
        <w:rPr>
          <w:rFonts w:ascii="Times New Roman" w:cs="Times New Roman" w:eastAsia="Times New Roman" w:hAnsi="Times New Roman"/>
          <w:sz w:val="18"/>
          <w:szCs w:val="18"/>
          <w:color w:val="auto"/>
        </w:rPr>
        <w:t>” means the Company or any affiliate or subsidiary of the Company.</w:t>
      </w:r>
    </w:p>
    <w:p>
      <w:pPr>
        <w:spacing w:after="0" w:line="220" w:lineRule="exact"/>
        <w:rPr>
          <w:sz w:val="20"/>
          <w:szCs w:val="20"/>
          <w:color w:val="auto"/>
        </w:rPr>
      </w:pPr>
    </w:p>
    <w:p>
      <w:pPr>
        <w:ind w:right="38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 from time to time, and as now or hereafter construed, interpreted and applied by regulations, rulings and cases.</w:t>
      </w:r>
    </w:p>
    <w:p>
      <w:pPr>
        <w:spacing w:after="0" w:line="155" w:lineRule="exact"/>
        <w:rPr>
          <w:sz w:val="20"/>
          <w:szCs w:val="20"/>
          <w:color w:val="auto"/>
        </w:rPr>
      </w:pPr>
    </w:p>
    <w:p>
      <w:pPr>
        <w:ind w:right="500" w:firstLine="436"/>
        <w:spacing w:after="0" w:line="265" w:lineRule="auto"/>
        <w:rPr>
          <w:sz w:val="20"/>
          <w:szCs w:val="20"/>
          <w:color w:val="auto"/>
        </w:rPr>
      </w:pP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Fair Market Value</w:t>
      </w:r>
      <w:r>
        <w:rPr>
          <w:rFonts w:ascii="Times New Roman" w:cs="Times New Roman" w:eastAsia="Times New Roman" w:hAnsi="Times New Roman"/>
          <w:sz w:val="18"/>
          <w:szCs w:val="18"/>
          <w:color w:val="auto"/>
        </w:rPr>
        <w:t>” means, as of the relevant date, the closing price of Stock on the national stock exchange or automated quotation system on which the Stock is then listed or, if there was no trading in Stock on that date, the closing price of Stock on such exchange or automated quotation system on the next preceding date on which there was trading in Stock.</w:t>
      </w:r>
    </w:p>
    <w:p>
      <w:pPr>
        <w:spacing w:after="0" w:line="169" w:lineRule="exact"/>
        <w:rPr>
          <w:sz w:val="20"/>
          <w:szCs w:val="20"/>
          <w:color w:val="auto"/>
        </w:rPr>
      </w:pPr>
    </w:p>
    <w:p>
      <w:pPr>
        <w:ind w:right="260" w:firstLine="436"/>
        <w:spacing w:after="0" w:line="312" w:lineRule="auto"/>
        <w:rPr>
          <w:sz w:val="20"/>
          <w:szCs w:val="20"/>
          <w:color w:val="auto"/>
        </w:rPr>
      </w:pPr>
      <w:r>
        <w:rPr>
          <w:rFonts w:ascii="Times New Roman" w:cs="Times New Roman" w:eastAsia="Times New Roman" w:hAnsi="Times New Roman"/>
          <w:sz w:val="17"/>
          <w:szCs w:val="17"/>
          <w:u w:val="single" w:color="auto"/>
          <w:color w:val="auto"/>
        </w:rPr>
        <w:t>Section 1.14</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Grant</w:t>
      </w:r>
      <w:r>
        <w:rPr>
          <w:rFonts w:ascii="Times New Roman" w:cs="Times New Roman" w:eastAsia="Times New Roman" w:hAnsi="Times New Roman"/>
          <w:sz w:val="17"/>
          <w:szCs w:val="17"/>
          <w:color w:val="auto"/>
        </w:rPr>
        <w:t>” means any award of Options, Stock Appreciation Rights, Restricted Stock, Restricted Stock Units, Performance Stock, Performance Stock Units, Phantom Units or Other Equity-Based Award (or any combination thereof) made under this Plan to an Eligible Participant.</w:t>
      </w:r>
    </w:p>
    <w:p>
      <w:pPr>
        <w:spacing w:after="0" w:line="133"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Incentive Stock Option</w:t>
      </w:r>
      <w:r>
        <w:rPr>
          <w:rFonts w:ascii="Times New Roman" w:cs="Times New Roman" w:eastAsia="Times New Roman" w:hAnsi="Times New Roman"/>
          <w:sz w:val="18"/>
          <w:szCs w:val="18"/>
          <w:color w:val="auto"/>
        </w:rPr>
        <w:t>” means an Option that by its terms qualifies and is intended to qualify as an incentive stock option within the meaning of Section 422 of the Code and the regulations promulgated thereunder.</w:t>
      </w:r>
    </w:p>
    <w:p>
      <w:pPr>
        <w:spacing w:after="0" w:line="155" w:lineRule="exact"/>
        <w:rPr>
          <w:sz w:val="20"/>
          <w:szCs w:val="20"/>
          <w:color w:val="auto"/>
        </w:rPr>
      </w:pPr>
    </w:p>
    <w:p>
      <w:pPr>
        <w:ind w:right="46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Insider</w:t>
      </w:r>
      <w:r>
        <w:rPr>
          <w:rFonts w:ascii="Times New Roman" w:cs="Times New Roman" w:eastAsia="Times New Roman" w:hAnsi="Times New Roman"/>
          <w:sz w:val="18"/>
          <w:szCs w:val="18"/>
          <w:color w:val="auto"/>
        </w:rPr>
        <w:t>” means an officer or director of the Company or any other person whose transactions in shares of Stock are subject to Section 16 of the Exchange Act.</w:t>
      </w:r>
    </w:p>
    <w:p>
      <w:pPr>
        <w:spacing w:after="0" w:line="155" w:lineRule="exact"/>
        <w:rPr>
          <w:sz w:val="20"/>
          <w:szCs w:val="20"/>
          <w:color w:val="auto"/>
        </w:rPr>
      </w:pPr>
    </w:p>
    <w:p>
      <w:pPr>
        <w:ind w:right="12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NASDAQ Stock Market Rules</w:t>
      </w:r>
      <w:r>
        <w:rPr>
          <w:rFonts w:ascii="Times New Roman" w:cs="Times New Roman" w:eastAsia="Times New Roman" w:hAnsi="Times New Roman"/>
          <w:sz w:val="18"/>
          <w:szCs w:val="18"/>
          <w:color w:val="auto"/>
        </w:rPr>
        <w:t>” means the Qualitative Listing Requirements for Issuers Listed on the Exchange published by the NASDAQ Stock Market.</w:t>
      </w:r>
    </w:p>
    <w:p>
      <w:pPr>
        <w:spacing w:after="0" w:line="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860"/>
          </w:cols>
          <w:pgMar w:left="500" w:top="264" w:right="539" w:bottom="1440" w:gutter="0" w:footer="0" w:header="0"/>
        </w:sectPr>
      </w:pPr>
    </w:p>
    <w:bookmarkStart w:id="25" w:name="page26"/>
    <w:bookmarkEnd w:id="25"/>
    <w:p>
      <w:pPr>
        <w:ind w:left="6" w:right="16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1.18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Non-Employee Director</w:t>
      </w:r>
      <w:r>
        <w:rPr>
          <w:rFonts w:ascii="Times New Roman" w:cs="Times New Roman" w:eastAsia="Times New Roman" w:hAnsi="Times New Roman"/>
          <w:sz w:val="18"/>
          <w:szCs w:val="18"/>
          <w:color w:val="auto"/>
        </w:rPr>
        <w:t>” means a member of the Board who is a “non-employee director” within the meaning of Rule 16b-3 and any other qualifications required by the NASDAQ Stock Market Rules.</w:t>
      </w:r>
    </w:p>
    <w:p>
      <w:pPr>
        <w:spacing w:after="0" w:line="155"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u w:val="single" w:color="auto"/>
          <w:color w:val="auto"/>
        </w:rPr>
        <w:t>Section 1.19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Option</w:t>
      </w:r>
      <w:r>
        <w:rPr>
          <w:rFonts w:ascii="Times New Roman" w:cs="Times New Roman" w:eastAsia="Times New Roman" w:hAnsi="Times New Roman"/>
          <w:sz w:val="18"/>
          <w:szCs w:val="18"/>
          <w:color w:val="auto"/>
        </w:rPr>
        <w:t>” means any stock option granted under this Plan.</w:t>
      </w:r>
    </w:p>
    <w:p>
      <w:pPr>
        <w:spacing w:after="0" w:line="220"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u w:val="single" w:color="auto"/>
          <w:color w:val="auto"/>
        </w:rPr>
        <w:t>Section 1.20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Other Equity-Based Award</w:t>
      </w:r>
      <w:r>
        <w:rPr>
          <w:rFonts w:ascii="Times New Roman" w:cs="Times New Roman" w:eastAsia="Times New Roman" w:hAnsi="Times New Roman"/>
          <w:sz w:val="18"/>
          <w:szCs w:val="18"/>
          <w:color w:val="auto"/>
        </w:rPr>
        <w:t>” means a Grant made pursuant to Article IX.</w:t>
      </w:r>
    </w:p>
    <w:p>
      <w:pPr>
        <w:spacing w:after="0" w:line="220" w:lineRule="exact"/>
        <w:rPr>
          <w:sz w:val="20"/>
          <w:szCs w:val="20"/>
          <w:color w:val="auto"/>
        </w:rPr>
      </w:pPr>
    </w:p>
    <w:p>
      <w:pPr>
        <w:ind w:left="6" w:firstLine="436"/>
        <w:spacing w:after="0" w:line="250" w:lineRule="auto"/>
        <w:rPr>
          <w:sz w:val="20"/>
          <w:szCs w:val="20"/>
          <w:color w:val="auto"/>
        </w:rPr>
      </w:pP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Goals</w:t>
      </w:r>
      <w:r>
        <w:rPr>
          <w:rFonts w:ascii="Times New Roman" w:cs="Times New Roman" w:eastAsia="Times New Roman" w:hAnsi="Times New Roman"/>
          <w:sz w:val="18"/>
          <w:szCs w:val="18"/>
          <w:color w:val="auto"/>
        </w:rPr>
        <w:t>” means performance goals based on criteria selected by the Committee in its sole discretion, including, without limitation, one or more of the following criteria: (1) return on total stockholder equity (including growth measures); (2) earnings per share or earnings per share growth of Company common stock; (3) net earnings or net income (before or after taxes); (4) earnings before any or all of interest, taxes, minority interest, depreciation and amortization; (5) sales or revenues (including net sales or revenue growth); (6) return or growth on assets, capital or investment; (7) market share; (8) expense reduction goals; (9) implementation or completion of critical projects or processes; (10) cash flow (including operating cash flow, free cash flow, cash flow return on equity, and cash flow return on investment); (11) gross, operating or net profit or margins (including net operating profit or net operating profit after tax); (12) achievement of strategic goals; (13) growth and/or performance of the Company’s sales force or product line; (14) economic value added (net operating profit after tax minus the sum of capital multiplied by the cost of capital); (15) operating measures (including, but not limited to, productivity, efficiency, quality); (16) stock price; and (17) any combination of, or a specified increase in, any of the foregoing. A Performance Goal need not be based upon an increase or positive result under a particular business criterion and could include, for example, maintaining the status quo or limiting economic losses (measured, in each case, by reference to specific business criteria). As determined in the sole discretion of the Committee, the Performance Goals for any performance period may be measured on an absolute basis or in relation to a pre-established target, prior year’s results or a peer group or an index.</w:t>
      </w:r>
    </w:p>
    <w:p>
      <w:pPr>
        <w:spacing w:after="0" w:line="193" w:lineRule="exact"/>
        <w:rPr>
          <w:sz w:val="20"/>
          <w:szCs w:val="20"/>
          <w:color w:val="auto"/>
        </w:rPr>
      </w:pPr>
    </w:p>
    <w:p>
      <w:pPr>
        <w:ind w:left="6" w:right="120" w:firstLine="436"/>
        <w:spacing w:after="0" w:line="265" w:lineRule="auto"/>
        <w:rPr>
          <w:sz w:val="20"/>
          <w:szCs w:val="20"/>
          <w:color w:val="auto"/>
        </w:rPr>
      </w:pPr>
      <w:r>
        <w:rPr>
          <w:rFonts w:ascii="Times New Roman" w:cs="Times New Roman" w:eastAsia="Times New Roman" w:hAnsi="Times New Roman"/>
          <w:sz w:val="17"/>
          <w:szCs w:val="17"/>
          <w:color w:val="auto"/>
        </w:rPr>
        <w:t>The Committee also has the authority in its sole discretion to make equitable adjustments as it deems necessary, to reflect the impact of extraordinary items not reflected in such goals, including, but not limited to: (1) any profit or loss attributable to acquisitions or dispositions of stock or assets, (2) any intangibles/goodwill amortization charges attributable to acquisitions or dispositions of stock or assets, (3) any changes in accounting standards or treatments, (4) all items of gain, loss or expense for the year related to restructuring charges for the Company or its subsidiaries, (5) all items of gain, loss or expense for the year determined to be extraordinary or unusual in nature or infrequent in occurrence or related to the disposal of a segment of a business (including but not limited to any costs allocated to the Company by any entity that acquires the Company), (6) all items of gain, loss or expense for the year related to discontinued operations that do not qualify as a segment of a business, (7) the impact of capital expenditures,</w:t>
      </w:r>
    </w:p>
    <w:p>
      <w:pPr>
        <w:spacing w:after="0" w:line="4" w:lineRule="exact"/>
        <w:rPr>
          <w:sz w:val="20"/>
          <w:szCs w:val="20"/>
          <w:color w:val="auto"/>
        </w:rPr>
      </w:pPr>
    </w:p>
    <w:p>
      <w:pPr>
        <w:ind w:left="6" w:right="40" w:hanging="6"/>
        <w:spacing w:after="0" w:line="269" w:lineRule="auto"/>
        <w:tabs>
          <w:tab w:leader="none" w:pos="258"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share repurchases and other changes in the number of outstanding shares, (9) fees and expenses associated with a business transaction such as investment banking fees and/or legal, accounting or tax planning fees, and (10) charges or amortization related to intangibles/goodwill. The performance goals may include a threshold level of performance below which no compensation will be earned, levels of performance at which specified compensation will be earned, and a maximum level of performance beyond which no additional compensation will be earned.</w:t>
      </w:r>
    </w:p>
    <w:p>
      <w:pPr>
        <w:spacing w:after="0" w:line="10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886"/>
          </w:cols>
          <w:pgMar w:left="494" w:top="264" w:right="519" w:bottom="1440" w:gutter="0" w:footer="0" w:header="0"/>
        </w:sectPr>
      </w:pPr>
    </w:p>
    <w:bookmarkStart w:id="26" w:name="page27"/>
    <w:bookmarkEnd w:id="26"/>
    <w:p>
      <w:pPr>
        <w:ind w:left="4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1.22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Stock</w:t>
      </w:r>
      <w:r>
        <w:rPr>
          <w:rFonts w:ascii="Times New Roman" w:cs="Times New Roman" w:eastAsia="Times New Roman" w:hAnsi="Times New Roman"/>
          <w:sz w:val="18"/>
          <w:szCs w:val="18"/>
          <w:color w:val="auto"/>
        </w:rPr>
        <w:t>” means Stock issued pursuant to Article VII.</w:t>
      </w:r>
    </w:p>
    <w:p>
      <w:pPr>
        <w:spacing w:after="0" w:line="220" w:lineRule="exact"/>
        <w:rPr>
          <w:sz w:val="20"/>
          <w:szCs w:val="20"/>
          <w:color w:val="auto"/>
        </w:rPr>
      </w:pPr>
    </w:p>
    <w:p>
      <w:pPr>
        <w:ind w:right="2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Performance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Article VII. Each Performance Stock Unit represents an unfunded and unsecured obligation of the Company.</w:t>
      </w:r>
    </w:p>
    <w:p>
      <w:pPr>
        <w:spacing w:after="0" w:line="155" w:lineRule="exact"/>
        <w:rPr>
          <w:sz w:val="20"/>
          <w:szCs w:val="20"/>
          <w:color w:val="auto"/>
        </w:rPr>
      </w:pPr>
    </w:p>
    <w:p>
      <w:pPr>
        <w:jc w:val="both"/>
        <w:ind w:right="120" w:firstLine="436"/>
        <w:spacing w:after="0" w:line="265" w:lineRule="auto"/>
        <w:rPr>
          <w:sz w:val="20"/>
          <w:szCs w:val="20"/>
          <w:color w:val="auto"/>
        </w:rPr>
      </w:pP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Phantom Unit</w:t>
      </w:r>
      <w:r>
        <w:rPr>
          <w:rFonts w:ascii="Times New Roman" w:cs="Times New Roman" w:eastAsia="Times New Roman" w:hAnsi="Times New Roman"/>
          <w:sz w:val="18"/>
          <w:szCs w:val="18"/>
          <w:color w:val="auto"/>
        </w:rPr>
        <w:t>” shall mean the right, granted pursuant to Article VIII, to receive in cash or shares the Fair Market Value of a share of Stock or, in the case of a Grant denominated in cash, to receive the amount of cash per unit that is determined by the Committee in connection with the Grant.</w:t>
      </w:r>
    </w:p>
    <w:p>
      <w:pPr>
        <w:spacing w:after="0" w:line="169" w:lineRule="exact"/>
        <w:rPr>
          <w:sz w:val="20"/>
          <w:szCs w:val="20"/>
          <w:color w:val="auto"/>
        </w:rPr>
      </w:pPr>
    </w:p>
    <w:p>
      <w:pPr>
        <w:ind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The Midera Food Processing, Inc. 2026 Long-Term Incentive Plan, as set out in this document and as may be amended and restated from time to time.</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an Eligible Participant to whom a Grant has been made.</w:t>
      </w:r>
    </w:p>
    <w:p>
      <w:pPr>
        <w:spacing w:after="0" w:line="220" w:lineRule="exact"/>
        <w:rPr>
          <w:sz w:val="20"/>
          <w:szCs w:val="20"/>
          <w:color w:val="auto"/>
        </w:rPr>
      </w:pPr>
    </w:p>
    <w:p>
      <w:pPr>
        <w:ind w:right="18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means Stock transferred to a Recipient in a Grant which is, at the Date of Grant, both (i) not “transferable” and (ii) “subject to a substantial risk of forfeiture,” within the meaning of Section 83 of the Code.</w:t>
      </w:r>
    </w:p>
    <w:p>
      <w:pPr>
        <w:spacing w:after="0" w:line="155" w:lineRule="exact"/>
        <w:rPr>
          <w:sz w:val="20"/>
          <w:szCs w:val="20"/>
          <w:color w:val="auto"/>
        </w:rPr>
      </w:pPr>
    </w:p>
    <w:p>
      <w:pPr>
        <w:ind w:right="24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Article VI. Each Restricted Stock Unit represents an unfunded and unsecured obligation of the Company.</w:t>
      </w:r>
    </w:p>
    <w:p>
      <w:pPr>
        <w:spacing w:after="0" w:line="155" w:lineRule="exact"/>
        <w:rPr>
          <w:sz w:val="20"/>
          <w:szCs w:val="20"/>
          <w:color w:val="auto"/>
        </w:rPr>
      </w:pPr>
    </w:p>
    <w:p>
      <w:pPr>
        <w:ind w:right="420" w:firstLine="436"/>
        <w:spacing w:after="0" w:line="282" w:lineRule="auto"/>
        <w:rPr>
          <w:sz w:val="20"/>
          <w:szCs w:val="20"/>
          <w:color w:val="auto"/>
        </w:rPr>
      </w:pP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Rule 16b-3</w:t>
      </w:r>
      <w:r>
        <w:rPr>
          <w:rFonts w:ascii="Times New Roman" w:cs="Times New Roman" w:eastAsia="Times New Roman" w:hAnsi="Times New Roman"/>
          <w:sz w:val="18"/>
          <w:szCs w:val="18"/>
          <w:color w:val="auto"/>
        </w:rPr>
        <w:t>” means Rule 16b-3, as from time to time in effect promulgated by the Securities and Exchange Commission under Section 16 of the Exchange Act, including any successor to such Rule.</w:t>
      </w:r>
    </w:p>
    <w:p>
      <w:pPr>
        <w:spacing w:after="0" w:line="1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1.30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w:t>
      </w:r>
      <w:r>
        <w:rPr>
          <w:rFonts w:ascii="Times New Roman" w:cs="Times New Roman" w:eastAsia="Times New Roman" w:hAnsi="Times New Roman"/>
          <w:sz w:val="18"/>
          <w:szCs w:val="18"/>
          <w:color w:val="auto"/>
        </w:rPr>
        <w:t>” means the Company’s authorized common stock, par value $.01 per share.</w:t>
      </w:r>
    </w:p>
    <w:p>
      <w:pPr>
        <w:spacing w:after="0" w:line="220" w:lineRule="exact"/>
        <w:rPr>
          <w:sz w:val="20"/>
          <w:szCs w:val="20"/>
          <w:color w:val="auto"/>
        </w:rPr>
      </w:pPr>
    </w:p>
    <w:p>
      <w:pPr>
        <w:ind w:firstLine="436"/>
        <w:spacing w:after="0" w:line="265" w:lineRule="auto"/>
        <w:rPr>
          <w:sz w:val="20"/>
          <w:szCs w:val="20"/>
          <w:color w:val="auto"/>
        </w:rPr>
      </w:pPr>
      <w:r>
        <w:rPr>
          <w:rFonts w:ascii="Times New Roman" w:cs="Times New Roman" w:eastAsia="Times New Roman" w:hAnsi="Times New Roman"/>
          <w:sz w:val="18"/>
          <w:szCs w:val="18"/>
          <w:u w:val="single" w:color="auto"/>
          <w:color w:val="auto"/>
        </w:rPr>
        <w:t>Section 1.31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Stock Appreciation Right</w:t>
      </w:r>
      <w:r>
        <w:rPr>
          <w:rFonts w:ascii="Times New Roman" w:cs="Times New Roman" w:eastAsia="Times New Roman" w:hAnsi="Times New Roman"/>
          <w:sz w:val="18"/>
          <w:szCs w:val="18"/>
          <w:color w:val="auto"/>
        </w:rPr>
        <w:t>” means a right transferred to a Recipient under a Grant which entitles the Recipient, upon exercise, to receive a payment (in cash, Stock or a combination of cash and Stock) which is equal to the increase (if any) in the Fair Market Value of a share of Stock between the Date of Grant and the date as of which the right is exercised.</w:t>
      </w:r>
    </w:p>
    <w:p>
      <w:pPr>
        <w:spacing w:after="0" w:line="173" w:lineRule="exact"/>
        <w:rPr>
          <w:sz w:val="20"/>
          <w:szCs w:val="20"/>
          <w:color w:val="auto"/>
        </w:rPr>
      </w:pPr>
    </w:p>
    <w:p>
      <w:pPr>
        <w:ind w:right="54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1.32</w:t>
      </w:r>
      <w:r>
        <w:rPr>
          <w:rFonts w:ascii="Times New Roman" w:cs="Times New Roman" w:eastAsia="Times New Roman" w:hAnsi="Times New Roman"/>
          <w:sz w:val="18"/>
          <w:szCs w:val="18"/>
          <w:color w:val="auto"/>
        </w:rPr>
        <w:t xml:space="preserve"> The masculine gender includes the feminine, and the singular number includes the plural, unless a different meaning is clearly required by the context.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AVAILABLE FOR GRANTS</w:t>
      </w:r>
    </w:p>
    <w:p>
      <w:pPr>
        <w:spacing w:after="0" w:line="118" w:lineRule="exact"/>
        <w:rPr>
          <w:sz w:val="20"/>
          <w:szCs w:val="20"/>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Subject to adjustment as provided in Section 2.2 herein, a maximum of 3,000,000 shares of Stock are available for Grants under the Plan, which amount shall also be the maximum number of shares of Stock that may be issued under the Plan pursuant to Incentive Stock Options. The Stock available for Grants may include unissued or reacquired shares. If any shares subject to a Grant are forfeited, cancelled, exchanged or surrendered or if a Grant otherwise</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880"/>
          </w:cols>
          <w:pgMar w:left="500" w:top="264" w:right="519" w:bottom="1440" w:gutter="0" w:footer="0" w:header="0"/>
        </w:sectPr>
      </w:pPr>
    </w:p>
    <w:bookmarkStart w:id="27" w:name="page28"/>
    <w:bookmarkEnd w:id="27"/>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terminates or expires without a distribution of shares to the Recipient, the shares of Stock with respect to such Grant shall, to the extent of any such forfeiture, cancellation, exchange, surrender, termination or expiration, again be available for Grants under the Plan. Notwithstanding the foregoing, shares of Stock that are exchanged by a Recipient or withheld by the Company as full or partial payment in connection with any Grant under the Plan, as well as any shares of Stock exchanged by a Recipient or withheld by the Company or any subsidiary to satisfy the tax withholding obligations related to any Grant under the Plan, shall not be available for subsequent Grants under the Plan. Upon the exercise of any Grant made in tandem with any other Grants, such related Grants shall be canceled to the extent of the number of shares of Stock as to which the Grant is exercised and, notwithstanding the foregoing, such number of shares shall no longer be available for Grants under the Plan. In addition, shares of Stock underlying Grants that can only be settled in cash shall not be counted against the aggregate number of shares of Stock available for Grants under the Plan.</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2.2</w:t>
      </w:r>
    </w:p>
    <w:p>
      <w:pPr>
        <w:spacing w:after="0" w:line="220" w:lineRule="exact"/>
        <w:rPr>
          <w:sz w:val="20"/>
          <w:szCs w:val="20"/>
          <w:color w:val="auto"/>
        </w:rPr>
      </w:pPr>
    </w:p>
    <w:p>
      <w:pPr>
        <w:ind w:right="20" w:firstLine="975"/>
        <w:spacing w:after="0" w:line="250" w:lineRule="auto"/>
        <w:tabs>
          <w:tab w:leader="none" w:pos="122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in an Award Agreement or as otherwise provided in the Plan, in the event that the Board shall determine that any dividend or other distribution (whether in the form of cash, Stock, or other property), recapitalization, Stock split, reverse split, reorganization, merger, consolidation, spin-off, combination, repurchase, or share exchange, or other similar corporate transaction or event, affects the Stock such that an adjustment is appropriate in order to prevent dilution or enlargement of the rights of Recipients under the Plan, then the Board shall make such equitable changes or adjustments as it deems necessary or appropriate to any or all of (i) the number and kind of shares of Stock or other property (including cash) that may thereafter be issued in connection with Grants or the total number of shares of Stock issuable under the Plan pursuant to Section 2.1, (ii) the number and kind of shares of Stock or other property issued or issuable in respect of outstanding Grants, (iii) the exercise price, grant price or purchase price relating to any Grant, and (iv) any individual limitations or Plan limitations applicable to Grants; provided that, with respect to Incentive Stock Options, any adjustment shall be made in accordance with the provisions of Section 424(h) of the Code and any regulations or guidance promulgated thereunder; and provided further that no such adjustment shall cause any Grant hereunder which is or becomes subject to Section 409A of the Code to fail to comply with the requirements of such section.</w:t>
      </w:r>
    </w:p>
    <w:p>
      <w:pPr>
        <w:spacing w:after="0" w:line="193" w:lineRule="exact"/>
        <w:rPr>
          <w:rFonts w:ascii="Times New Roman" w:cs="Times New Roman" w:eastAsia="Times New Roman" w:hAnsi="Times New Roman"/>
          <w:sz w:val="18"/>
          <w:szCs w:val="18"/>
          <w:color w:val="auto"/>
        </w:rPr>
      </w:pPr>
    </w:p>
    <w:p>
      <w:pPr>
        <w:ind w:right="40" w:firstLine="975"/>
        <w:spacing w:after="0" w:line="252" w:lineRule="auto"/>
        <w:tabs>
          <w:tab w:leader="none" w:pos="1233"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make Grants under the Plan in connection with the acquisition, whether by purchase, merger, consolidation or other corporate transaction, of the business or assets of any corporation or other entity, in substitution for awards previously granted by such corporation or other entity or otherwise. The Committee may also assume any previously granted awards of an employee, director, consultant or other service provider of another corporation or entity that becomes an Eligible Participant by reason of such corporation transaction. The terms and conditions of the substituted or assumed awards may vary from the terms and conditions that would otherwise be required by the Plan solely to the extent the Committee deems necessary for such purpose. To the extent permitted by applicable law and the NASDAQ Stock Market Rules, any such substituted or assumed awards shall not reduce the number of shares available under the Plan set forth in Section 2.1 herein.</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880"/>
          </w:cols>
          <w:pgMar w:left="500" w:top="268" w:right="51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MAKING GRANTS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3.1</w:t>
      </w:r>
    </w:p>
    <w:p>
      <w:pPr>
        <w:spacing w:after="0" w:line="220" w:lineRule="exact"/>
        <w:rPr>
          <w:sz w:val="20"/>
          <w:szCs w:val="20"/>
          <w:color w:val="auto"/>
        </w:rPr>
      </w:pPr>
    </w:p>
    <w:p>
      <w:pPr>
        <w:ind w:right="80" w:firstLine="975"/>
        <w:spacing w:after="0" w:line="268" w:lineRule="auto"/>
        <w:tabs>
          <w:tab w:leader="none" w:pos="1223"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Committee may, at any time while the Plan is in effect and there is Stock available for Grants, make Grants to Eligible Participants; provided, that subject to the terms of the Plan, the timing, pricing and amount of a Grant to an Insider shall be made solely by a committee consisting solely of two or more directors who are Non-Employee Directors. The maximum aggregate Grants made during any fiscal year to any Eligible Participant will not exceed (i) 200,000 shares of Stock, or (ii) with respect to any Grant denominated in cash, $10,000,000, in each case subject to adjustment as provided by Section 2.2. subject to adjustment as provided in as provided in Section 2.2(a). Grants of Options intended to be treated as Incentive Stock Options may only be made to employees of an Employer and not to Non-Employee Directors or other service providers. Notwithstanding any provision of the Plan, to the extent that any Grant would be subject to Section 409A of the Code, no such Grant may be made if it would fail to comply with the requirements set forth in Section 409A of the Code and any regulation or guidance promulgated thereunder.</w:t>
      </w:r>
    </w:p>
    <w:p>
      <w:pPr>
        <w:spacing w:after="0" w:line="177" w:lineRule="exact"/>
        <w:rPr>
          <w:rFonts w:ascii="Times New Roman" w:cs="Times New Roman" w:eastAsia="Times New Roman" w:hAnsi="Times New Roman"/>
          <w:sz w:val="17"/>
          <w:szCs w:val="17"/>
          <w:color w:val="auto"/>
        </w:rPr>
      </w:pPr>
    </w:p>
    <w:p>
      <w:pPr>
        <w:ind w:left="1220" w:hanging="245"/>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 may be made after the tenth anniversary of the Effective Date.</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Grants and any exercises of Grants are conditioned upon stockholder approval of the Plan as described in Section 11.2.</w:t>
      </w:r>
    </w:p>
    <w:p>
      <w:pPr>
        <w:spacing w:after="0" w:line="220" w:lineRule="exact"/>
        <w:rPr>
          <w:rFonts w:ascii="Times New Roman" w:cs="Times New Roman" w:eastAsia="Times New Roman" w:hAnsi="Times New Roman"/>
          <w:sz w:val="18"/>
          <w:szCs w:val="18"/>
          <w:color w:val="auto"/>
        </w:rPr>
      </w:pPr>
    </w:p>
    <w:p>
      <w:pPr>
        <w:ind w:right="200" w:firstLine="975"/>
        <w:spacing w:after="0" w:line="262" w:lineRule="auto"/>
        <w:tabs>
          <w:tab w:leader="none" w:pos="123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individual who is a Non-Employee Director of the Company shall receive Grants during any calendar year that, when aggregated with such Non-Employee Director’s cash fees with respect to such calendar year, exceed $400,000 in total value (calculating the value of any such awards based on the Fair Market Value as of the Date of Grant).</w:t>
      </w:r>
    </w:p>
    <w:p>
      <w:pPr>
        <w:spacing w:after="0" w:line="177" w:lineRule="exact"/>
        <w:rPr>
          <w:rFonts w:ascii="Times New Roman" w:cs="Times New Roman" w:eastAsia="Times New Roman" w:hAnsi="Times New Roman"/>
          <w:sz w:val="18"/>
          <w:szCs w:val="18"/>
          <w:color w:val="auto"/>
        </w:rPr>
      </w:pPr>
    </w:p>
    <w:p>
      <w:pPr>
        <w:ind w:firstLine="975"/>
        <w:spacing w:after="0" w:line="253" w:lineRule="auto"/>
        <w:tabs>
          <w:tab w:leader="none" w:pos="1223"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or Stock Appreciation Right may be re-priced, replaced, re-granted through cancellation, or modified without stockholder approval (except as permitted under Section 2.2(b)), if the effect would be to reduce the exercise price for the Stock underlying such Option or Stock Appreciation Right, respectively. In addition, in no event will the Company pay cash or other consideration for Options where at the time of payment the exercise price of the Option is greater than the Fair Market Value of the Stock underlying the Option or pay cash or other consideration for Stock Appreciation Rights where at the time of payment the exercise price established in the Grant is greater than the Fair Market Value of the Stock underlying the Stock Appreciation Right.</w:t>
      </w:r>
    </w:p>
    <w:p>
      <w:pPr>
        <w:spacing w:after="0" w:line="18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3.2</w:t>
      </w:r>
    </w:p>
    <w:p>
      <w:pPr>
        <w:spacing w:after="0" w:line="220" w:lineRule="exact"/>
        <w:rPr>
          <w:sz w:val="20"/>
          <w:szCs w:val="20"/>
          <w:color w:val="auto"/>
        </w:rPr>
      </w:pPr>
    </w:p>
    <w:p>
      <w:pPr>
        <w:ind w:right="100" w:firstLine="975"/>
        <w:spacing w:after="0" w:line="257" w:lineRule="auto"/>
        <w:tabs>
          <w:tab w:leader="none" w:pos="1223"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each Grant will be set out in an Award Agreement in a form approved by the Committee setting forth the number of shares of Stock, as applicable, subject to the Grant, and the price (if any) and term of the Grant and, in the case of performance-based awards, the applicable Performance Goals and performance period. The Award Agreement also may set forth (or incorporate by reference) other material terms and conditions applicable to the Grant as determined by the Committee consistent with the limitations of this Plan.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880"/>
          </w:cols>
          <w:pgMar w:left="500" w:top="264" w:right="519" w:bottom="1440" w:gutter="0" w:footer="0" w:header="0"/>
        </w:sectPr>
      </w:pPr>
    </w:p>
    <w:bookmarkStart w:id="29" w:name="page30"/>
    <w:bookmarkEnd w:id="29"/>
    <w:p>
      <w:pPr>
        <w:ind w:right="520" w:firstLine="975"/>
        <w:spacing w:after="0" w:line="262" w:lineRule="auto"/>
        <w:tabs>
          <w:tab w:leader="none" w:pos="1233"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Subject to the applicable provisions of Articles IV through IX, a Grant may contain any terms and conditions which the Board determines, as long as they are consistent with the provisions of the Plan. Such terms may, without limitation, include provisions that Grants shall terminate upon termination of employment in specified circumstances.</w:t>
      </w:r>
    </w:p>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4.1</w:t>
      </w:r>
      <w:r>
        <w:rPr>
          <w:rFonts w:ascii="Times New Roman" w:cs="Times New Roman" w:eastAsia="Times New Roman" w:hAnsi="Times New Roman"/>
          <w:sz w:val="18"/>
          <w:szCs w:val="18"/>
          <w:color w:val="auto"/>
        </w:rPr>
        <w:t xml:space="preserve"> The terms of each Option must include the following:</w:t>
      </w:r>
    </w:p>
    <w:p>
      <w:pPr>
        <w:spacing w:after="0" w:line="220" w:lineRule="exact"/>
        <w:rPr>
          <w:sz w:val="20"/>
          <w:szCs w:val="20"/>
          <w:color w:val="auto"/>
        </w:rPr>
      </w:pPr>
    </w:p>
    <w:p>
      <w:pPr>
        <w:ind w:left="1220" w:hanging="245"/>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Recipient.</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which are subject to the Option.</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over which the Option may be exercised.</w:t>
      </w:r>
    </w:p>
    <w:p>
      <w:pPr>
        <w:spacing w:after="0" w:line="220" w:lineRule="exact"/>
        <w:rPr>
          <w:rFonts w:ascii="Times New Roman" w:cs="Times New Roman" w:eastAsia="Times New Roman" w:hAnsi="Times New Roman"/>
          <w:sz w:val="18"/>
          <w:szCs w:val="18"/>
          <w:color w:val="auto"/>
        </w:rPr>
      </w:pPr>
    </w:p>
    <w:p>
      <w:pPr>
        <w:ind w:firstLine="975"/>
        <w:spacing w:after="0" w:line="252" w:lineRule="auto"/>
        <w:tabs>
          <w:tab w:leader="none" w:pos="1233"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Option is not transferable by the Recipient except by will or the laws of descent and distribution and that, during his lifetime, it is exercisable only by him. Provided that, subject to the approval of the Board, an Option may be transferable as permitted under 17 C.F.R. sec. 240.16b-3 and 5, as long as such transfers are made to one or more of the following: family members, including children of the Recipient, the spouse of the Recipient, or grandchildren of the Recipient, trusts for such family members or charities (“</w:t>
      </w:r>
      <w:r>
        <w:rPr>
          <w:rFonts w:ascii="Times New Roman" w:cs="Times New Roman" w:eastAsia="Times New Roman" w:hAnsi="Times New Roman"/>
          <w:sz w:val="18"/>
          <w:szCs w:val="18"/>
          <w:b w:val="1"/>
          <w:bCs w:val="1"/>
          <w:color w:val="auto"/>
        </w:rPr>
        <w:t>Transferees</w:t>
      </w:r>
      <w:r>
        <w:rPr>
          <w:rFonts w:ascii="Times New Roman" w:cs="Times New Roman" w:eastAsia="Times New Roman" w:hAnsi="Times New Roman"/>
          <w:sz w:val="18"/>
          <w:szCs w:val="18"/>
          <w:color w:val="auto"/>
        </w:rPr>
        <w:t>”), provided that (i) such transfer is a bona fide gift and accordingly, the Recipient receives no consideration for the transfer, (ii) the Options transferred continue to be subject to the same terms and conditions that were applicable to the Options immediately prior to the transfer and (iii) the Transferee acknowledges that it is subject to such terms and conditions in a form satisfactory to the Company. In the event of such a transfer, the Transferee may not subsequently transfer this Option. The designation of a beneficiary shall not constitute a transfer.</w:t>
      </w:r>
    </w:p>
    <w:p>
      <w:pPr>
        <w:spacing w:after="0" w:line="184"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of whether the Option is intended to be an Incentive Stock Option or a “nonstatutory stock option”.</w:t>
      </w:r>
    </w:p>
    <w:p>
      <w:pPr>
        <w:spacing w:after="0" w:line="220"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must be at least 100% of the Stock’s Fair Market Value on the Date of Grant.</w:t>
      </w:r>
    </w:p>
    <w:p>
      <w:pPr>
        <w:spacing w:after="0" w:line="22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4.2</w:t>
      </w:r>
      <w:r>
        <w:rPr>
          <w:rFonts w:ascii="Times New Roman" w:cs="Times New Roman" w:eastAsia="Times New Roman" w:hAnsi="Times New Roman"/>
          <w:sz w:val="18"/>
          <w:szCs w:val="18"/>
          <w:color w:val="auto"/>
        </w:rPr>
        <w:t xml:space="preserve"> An Option which is intended to be an Incentive Stock Option must contain the following terms:</w:t>
      </w:r>
    </w:p>
    <w:p>
      <w:pPr>
        <w:spacing w:after="0" w:line="220" w:lineRule="exact"/>
        <w:rPr>
          <w:sz w:val="20"/>
          <w:szCs w:val="20"/>
          <w:color w:val="auto"/>
        </w:rPr>
      </w:pPr>
    </w:p>
    <w:p>
      <w:pPr>
        <w:ind w:left="1220" w:hanging="245"/>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 per share must be at least 100% of the Stock’s Fair Market Value on the Date of Grant.</w:t>
      </w:r>
    </w:p>
    <w:p>
      <w:pPr>
        <w:spacing w:after="0" w:line="220" w:lineRule="exact"/>
        <w:rPr>
          <w:rFonts w:ascii="Times New Roman" w:cs="Times New Roman" w:eastAsia="Times New Roman" w:hAnsi="Times New Roman"/>
          <w:sz w:val="18"/>
          <w:szCs w:val="18"/>
          <w:color w:val="auto"/>
        </w:rPr>
      </w:pPr>
    </w:p>
    <w:p>
      <w:pPr>
        <w:ind w:right="180" w:firstLine="975"/>
        <w:spacing w:after="0" w:line="277" w:lineRule="auto"/>
        <w:tabs>
          <w:tab w:leader="none" w:pos="1233"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Fair Market Value (as of the Date of Grant) of Stock with respect to which Incentive Stock Options are exercisable for the first time by the Recipient during any calendar year (under all stock option plans of the Employers) may not exceed $100,000.</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over which the Option may be exercised may never exceed ten years from the Date of Grant.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880"/>
          </w:cols>
          <w:pgMar w:left="500" w:top="268" w:right="519" w:bottom="1440" w:gutter="0" w:footer="0" w:header="0"/>
        </w:sectPr>
      </w:pPr>
    </w:p>
    <w:bookmarkStart w:id="30" w:name="page31"/>
    <w:bookmarkEnd w:id="30"/>
    <w:p>
      <w:pPr>
        <w:jc w:val="both"/>
        <w:ind w:right="140" w:firstLine="975"/>
        <w:spacing w:after="0" w:line="262" w:lineRule="auto"/>
        <w:tabs>
          <w:tab w:leader="none" w:pos="123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the Recipient, at the time the Option is granted, owns 10% or more of the voting stock of an Employer (including Stock which he is deemed to own under Section 424(d) of the Code), the exercise price must be at least 110% of the Stock’s Fair Market Value as of the Option’s Date of Grant, and the term of the Option may not be more than five (5) years from the Date of Grant.</w:t>
      </w:r>
    </w:p>
    <w:p>
      <w:pPr>
        <w:spacing w:after="0" w:line="177" w:lineRule="exact"/>
        <w:rPr>
          <w:rFonts w:ascii="Times New Roman" w:cs="Times New Roman" w:eastAsia="Times New Roman" w:hAnsi="Times New Roman"/>
          <w:sz w:val="18"/>
          <w:szCs w:val="18"/>
          <w:color w:val="auto"/>
        </w:rPr>
      </w:pPr>
    </w:p>
    <w:p>
      <w:pPr>
        <w:ind w:right="20" w:firstLine="975"/>
        <w:spacing w:after="0" w:line="252" w:lineRule="auto"/>
        <w:tabs>
          <w:tab w:leader="none" w:pos="1223"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Recipient awarded an Incentive Stock Option under the Plan shall notify the Company in writing immediately after the date he or she makes a “disqualifying disposition” of any shares of Stock acquired pursuant to the exercise of such Incentive Stock Option. A “disqualifying disposition” is any disposition (including any sale) of such Stock before the later of (i) two (2) years after the time of grant of the Incentive Stock Option and (ii) one (1) year after the date the Recipient acquired the shares of Stock by exercising the Incentive Stock Option. The Company may, if determined by the Committee and in accordance with procedures established by it, retain possession of any shares of Stock acquired pursuant to the exercise of an Incentive Stock Option as agent for the applicable Recipient until the end of the period described in the preceding sentence, subject to complying with any instructions from such Recipient as to the sale of such Stock.</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4.3</w:t>
      </w:r>
    </w:p>
    <w:p>
      <w:pPr>
        <w:spacing w:after="0" w:line="220" w:lineRule="exact"/>
        <w:rPr>
          <w:sz w:val="20"/>
          <w:szCs w:val="20"/>
          <w:color w:val="auto"/>
        </w:rPr>
      </w:pPr>
    </w:p>
    <w:p>
      <w:pPr>
        <w:ind w:right="140" w:firstLine="975"/>
        <w:spacing w:after="0" w:line="277" w:lineRule="auto"/>
        <w:tabs>
          <w:tab w:leader="none" w:pos="122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Option may be exercised, in whole or part, at any time during its term, subject to any specific conditions in the Option’s terms and any rules adopted by the Board for the exercise of Options.</w:t>
      </w:r>
    </w:p>
    <w:p>
      <w:pPr>
        <w:spacing w:after="0" w:line="163" w:lineRule="exact"/>
        <w:rPr>
          <w:rFonts w:ascii="Times New Roman" w:cs="Times New Roman" w:eastAsia="Times New Roman" w:hAnsi="Times New Roman"/>
          <w:sz w:val="18"/>
          <w:szCs w:val="18"/>
          <w:color w:val="auto"/>
        </w:rPr>
      </w:pPr>
    </w:p>
    <w:p>
      <w:pPr>
        <w:ind w:firstLine="975"/>
        <w:spacing w:after="0" w:line="252" w:lineRule="auto"/>
        <w:tabs>
          <w:tab w:leader="none" w:pos="1233"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Recipient may pay the exercise price of an Option on the effective date of such exercise by one or a combination of the following means: (A) in cash or by personal check, certified check, bank cashier’s check or wire transfer; (B) in shares of Stock owned by the Recipient and valued at their Fair Market Value on the effective date of such exercise; or (C) by any such other methods (including broker assisted cashless exercise or by attestation) as the Committee may from time to time authorize; provided, however, that in the case of a Recipient who is subject to Section 16 of the Exchange Act, the method of making such payment shall be in compliance with applicable law. Except as authorized by the Committee, any payment in shares of Stock shall be effected by the delivery of such shares to the Secretary of the Company, duly endorsed in blank or accompanied by stock powers duly executed in blank, together with any other documents and evidences as the Secretary of the Company shall require.</w:t>
      </w:r>
    </w:p>
    <w:p>
      <w:pPr>
        <w:spacing w:after="0" w:line="188"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following rules apply to the exercise of Options, unless otherwise provided in the Award Agreement between the Company and the</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Recipient:</w:t>
      </w:r>
    </w:p>
    <w:p>
      <w:pPr>
        <w:spacing w:after="0" w:line="94" w:lineRule="exact"/>
        <w:rPr>
          <w:rFonts w:ascii="Times New Roman" w:cs="Times New Roman" w:eastAsia="Times New Roman" w:hAnsi="Times New Roman"/>
          <w:sz w:val="17"/>
          <w:szCs w:val="17"/>
          <w:color w:val="auto"/>
        </w:rPr>
      </w:pPr>
    </w:p>
    <w:p>
      <w:pPr>
        <w:ind w:left="420" w:right="80" w:firstLine="951"/>
        <w:spacing w:after="0" w:line="262" w:lineRule="auto"/>
        <w:tabs>
          <w:tab w:leader="none" w:pos="157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Recipient dies, any Option may, to the extent it was exercisable at his death, be exercised by his estate, within one (1) year after his date of death or such shorter period as the Option may provide. Any portion of the Option that has not vested as of the date of death shall be canceled.</w:t>
      </w:r>
    </w:p>
    <w:p>
      <w:pPr>
        <w:spacing w:after="0" w:line="70" w:lineRule="exact"/>
        <w:rPr>
          <w:rFonts w:ascii="Times New Roman" w:cs="Times New Roman" w:eastAsia="Times New Roman" w:hAnsi="Times New Roman"/>
          <w:sz w:val="18"/>
          <w:szCs w:val="18"/>
          <w:color w:val="auto"/>
        </w:rPr>
      </w:pPr>
    </w:p>
    <w:p>
      <w:pPr>
        <w:jc w:val="both"/>
        <w:ind w:left="420" w:right="240" w:firstLine="951"/>
        <w:spacing w:after="0" w:line="262" w:lineRule="auto"/>
        <w:tabs>
          <w:tab w:leader="none" w:pos="1624"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Recipient terminates employment because he has become permanently and totally disabled, he may exercise any Option to the extent it was exercisable at his termination of employment, but only within one (1) year after his termination of employment or such shorter period as the Option may provide. Any portion of the Option that has not vested as of the date of disability shall be canceled.</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68" w:right="499" w:bottom="1440" w:gutter="0" w:footer="0" w:header="0"/>
        </w:sectPr>
      </w:pPr>
    </w:p>
    <w:bookmarkStart w:id="31" w:name="page32"/>
    <w:bookmarkEnd w:id="31"/>
    <w:p>
      <w:pPr>
        <w:ind w:left="420" w:right="40" w:firstLine="951"/>
        <w:spacing w:after="0" w:line="257" w:lineRule="auto"/>
        <w:tabs>
          <w:tab w:leader="none" w:pos="1673"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If a Recipient terminates employment for any reason other than death or permanent and total disability, he may exercise any Option to the extent it was exercisable at his termination of employment, but only within three (3) months after his termination of employment or such shorter or longer period as the Option may provide. Any portion of the Option that has not vested as of the date of termination shall be canceled.</w:t>
      </w:r>
    </w:p>
    <w:p>
      <w:pPr>
        <w:spacing w:after="0" w:line="75" w:lineRule="exact"/>
        <w:rPr>
          <w:rFonts w:ascii="Times New Roman" w:cs="Times New Roman" w:eastAsia="Times New Roman" w:hAnsi="Times New Roman"/>
          <w:sz w:val="18"/>
          <w:szCs w:val="18"/>
          <w:color w:val="auto"/>
        </w:rPr>
      </w:pPr>
    </w:p>
    <w:p>
      <w:pPr>
        <w:ind w:left="1680" w:hanging="309"/>
        <w:spacing w:after="0"/>
        <w:tabs>
          <w:tab w:leader="none" w:pos="168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Subparagraph (i), (ii) or (iii) can never operate to make an Option exercisable beyond the term for which it was granted.</w:t>
      </w:r>
    </w:p>
    <w:p>
      <w:pPr>
        <w:spacing w:after="0" w:line="220" w:lineRule="exact"/>
        <w:rPr>
          <w:rFonts w:ascii="Times New Roman" w:cs="Times New Roman" w:eastAsia="Times New Roman" w:hAnsi="Times New Roman"/>
          <w:sz w:val="18"/>
          <w:szCs w:val="18"/>
          <w:color w:val="auto"/>
        </w:rPr>
      </w:pPr>
    </w:p>
    <w:p>
      <w:pPr>
        <w:ind w:right="120" w:firstLine="975"/>
        <w:spacing w:after="0" w:line="277" w:lineRule="auto"/>
        <w:tabs>
          <w:tab w:leader="none" w:pos="1233"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an Option is not exercised before the expiration of its term or before the expiration of any shorter exercise period under paragraph (c), it will be canceled.</w:t>
      </w:r>
    </w:p>
    <w:p>
      <w:pPr>
        <w:spacing w:after="0" w:line="1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APPRECIATION RIGHTS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5.1</w:t>
      </w:r>
      <w:r>
        <w:rPr>
          <w:rFonts w:ascii="Times New Roman" w:cs="Times New Roman" w:eastAsia="Times New Roman" w:hAnsi="Times New Roman"/>
          <w:sz w:val="18"/>
          <w:szCs w:val="18"/>
          <w:color w:val="auto"/>
        </w:rPr>
        <w:t xml:space="preserve"> The terms of each Grant of Stock Appreciation Rights must include the following:</w:t>
      </w:r>
    </w:p>
    <w:p>
      <w:pPr>
        <w:spacing w:after="0" w:line="220" w:lineRule="exact"/>
        <w:rPr>
          <w:sz w:val="20"/>
          <w:szCs w:val="20"/>
          <w:color w:val="auto"/>
        </w:rPr>
      </w:pPr>
    </w:p>
    <w:p>
      <w:pPr>
        <w:ind w:left="1220" w:hanging="24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Recipient.</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Stock Appreciation Rights which are being granted.</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over which the Stock Appreciation Rights may be exercised. This term may never exceed ten (10) years from the Date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(d) The exercise price of the Stock Appreciation Right may never be less than 100% of the Fair Market Value of the Stock on the Date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w:t>
      </w:r>
    </w:p>
    <w:p>
      <w:pPr>
        <w:spacing w:after="0" w:line="202" w:lineRule="exact"/>
        <w:rPr>
          <w:sz w:val="20"/>
          <w:szCs w:val="20"/>
          <w:color w:val="auto"/>
        </w:rPr>
      </w:pPr>
    </w:p>
    <w:p>
      <w:pPr>
        <w:ind w:right="320" w:firstLine="975"/>
        <w:spacing w:after="0" w:line="277" w:lineRule="auto"/>
        <w:tabs>
          <w:tab w:leader="none" w:pos="122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any events which will cause cancellation of the Stock Appreciation Rights before the end of the term described in subparagraph (c).</w:t>
      </w:r>
    </w:p>
    <w:p>
      <w:pPr>
        <w:spacing w:after="0" w:line="163" w:lineRule="exact"/>
        <w:rPr>
          <w:rFonts w:ascii="Times New Roman" w:cs="Times New Roman" w:eastAsia="Times New Roman" w:hAnsi="Times New Roman"/>
          <w:sz w:val="18"/>
          <w:szCs w:val="18"/>
          <w:color w:val="auto"/>
        </w:rPr>
      </w:pPr>
    </w:p>
    <w:p>
      <w:pPr>
        <w:ind w:right="240" w:firstLine="975"/>
        <w:spacing w:after="0" w:line="277" w:lineRule="auto"/>
        <w:tabs>
          <w:tab w:leader="none" w:pos="120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 Stock Appreciation Rights are issued in tandem with any Option, and, if so, the manner in which the Recipient’s exercise of one affects his right to exercise the other.</w:t>
      </w:r>
    </w:p>
    <w:p>
      <w:pPr>
        <w:spacing w:after="0" w:line="163" w:lineRule="exact"/>
        <w:rPr>
          <w:rFonts w:ascii="Times New Roman" w:cs="Times New Roman" w:eastAsia="Times New Roman" w:hAnsi="Times New Roman"/>
          <w:sz w:val="18"/>
          <w:szCs w:val="18"/>
          <w:color w:val="auto"/>
        </w:rPr>
      </w:pPr>
    </w:p>
    <w:p>
      <w:pPr>
        <w:ind w:right="480" w:firstLine="975"/>
        <w:spacing w:after="0" w:line="277" w:lineRule="auto"/>
        <w:tabs>
          <w:tab w:leader="none" w:pos="1233"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the Stock Appreciation Rights are not transferable by the Recipient except by will or the laws of descent and distribution and that during his lifetime such Rights are exercisable only by him.</w:t>
      </w:r>
    </w:p>
    <w:p>
      <w:pPr>
        <w:spacing w:after="0" w:line="163" w:lineRule="exact"/>
        <w:rPr>
          <w:sz w:val="20"/>
          <w:szCs w:val="20"/>
          <w:color w:val="auto"/>
        </w:rPr>
      </w:pPr>
    </w:p>
    <w:p>
      <w:pPr>
        <w:ind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5.2</w:t>
      </w:r>
      <w:r>
        <w:rPr>
          <w:rFonts w:ascii="Times New Roman" w:cs="Times New Roman" w:eastAsia="Times New Roman" w:hAnsi="Times New Roman"/>
          <w:sz w:val="18"/>
          <w:szCs w:val="18"/>
          <w:color w:val="auto"/>
        </w:rPr>
        <w:t xml:space="preserve"> Stock Appreciation Rights which are issued in tandem with an Option which is intended to be an Incentive Stock Option must contain the following terms:</w:t>
      </w:r>
    </w:p>
    <w:p>
      <w:pPr>
        <w:spacing w:after="0" w:line="163" w:lineRule="exact"/>
        <w:rPr>
          <w:sz w:val="20"/>
          <w:szCs w:val="20"/>
          <w:color w:val="auto"/>
        </w:rPr>
      </w:pPr>
    </w:p>
    <w:p>
      <w:pPr>
        <w:jc w:val="right"/>
        <w:ind w:left="5360" w:right="5260" w:hanging="4385"/>
        <w:spacing w:after="0" w:line="488" w:lineRule="auto"/>
        <w:tabs>
          <w:tab w:leader="none" w:pos="1222"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They will expire no later than at the expiration of the Option. 10</w:t>
      </w:r>
    </w:p>
    <w:p>
      <w:pPr>
        <w:sectPr>
          <w:pgSz w:w="11900" w:h="16838" w:orient="portrait"/>
          <w:cols w:equalWidth="0" w:num="1">
            <w:col w:w="10820"/>
          </w:cols>
          <w:pgMar w:left="500" w:top="268" w:right="579" w:bottom="1440" w:gutter="0" w:footer="0" w:header="0"/>
        </w:sectPr>
      </w:pPr>
    </w:p>
    <w:bookmarkStart w:id="32" w:name="page33"/>
    <w:bookmarkEnd w:id="32"/>
    <w:p>
      <w:pPr>
        <w:ind w:left="-40" w:right="40" w:firstLine="975"/>
        <w:spacing w:after="0" w:line="277" w:lineRule="auto"/>
        <w:tabs>
          <w:tab w:leader="none" w:pos="119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Payment under the Stock Appreciation Rights may not exceed 100% of the difference between the exercise price of the Option and the Fair Market Value of Stock on the date the Stock Appreciation Rights are exercised.</w:t>
      </w:r>
    </w:p>
    <w:p>
      <w:pPr>
        <w:spacing w:after="0" w:line="163" w:lineRule="exact"/>
        <w:rPr>
          <w:rFonts w:ascii="Times New Roman" w:cs="Times New Roman" w:eastAsia="Times New Roman" w:hAnsi="Times New Roman"/>
          <w:sz w:val="18"/>
          <w:szCs w:val="18"/>
          <w:color w:val="auto"/>
        </w:rPr>
      </w:pPr>
    </w:p>
    <w:p>
      <w:pPr>
        <w:ind w:left="1180" w:hanging="245"/>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transferable only when the Option is transferable, and under the same conditions.</w:t>
      </w:r>
    </w:p>
    <w:p>
      <w:pPr>
        <w:spacing w:after="0" w:line="220" w:lineRule="exact"/>
        <w:rPr>
          <w:rFonts w:ascii="Times New Roman" w:cs="Times New Roman" w:eastAsia="Times New Roman" w:hAnsi="Times New Roman"/>
          <w:sz w:val="18"/>
          <w:szCs w:val="18"/>
          <w:color w:val="auto"/>
        </w:rPr>
      </w:pPr>
    </w:p>
    <w:p>
      <w:pPr>
        <w:ind w:left="1180" w:hanging="245"/>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are exercisable only when the Option is exercisable.</w:t>
      </w:r>
    </w:p>
    <w:p>
      <w:pPr>
        <w:spacing w:after="0" w:line="220" w:lineRule="exact"/>
        <w:rPr>
          <w:rFonts w:ascii="Times New Roman" w:cs="Times New Roman" w:eastAsia="Times New Roman" w:hAnsi="Times New Roman"/>
          <w:sz w:val="18"/>
          <w:szCs w:val="18"/>
          <w:color w:val="auto"/>
        </w:rPr>
      </w:pPr>
    </w:p>
    <w:p>
      <w:pPr>
        <w:ind w:left="1180" w:hanging="245"/>
        <w:spacing w:after="0"/>
        <w:tabs>
          <w:tab w:leader="none" w:pos="11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They may only be exercised when the Fair Market Value of Stock exceeds the exercise price of the Option.</w:t>
      </w:r>
    </w:p>
    <w:p>
      <w:pPr>
        <w:spacing w:after="0" w:line="220"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u w:val="single" w:color="auto"/>
          <w:color w:val="auto"/>
        </w:rPr>
        <w:t>Section 5.3</w:t>
      </w:r>
    </w:p>
    <w:p>
      <w:pPr>
        <w:spacing w:after="0" w:line="220" w:lineRule="exact"/>
        <w:rPr>
          <w:sz w:val="20"/>
          <w:szCs w:val="20"/>
          <w:color w:val="auto"/>
        </w:rPr>
      </w:pPr>
    </w:p>
    <w:p>
      <w:pPr>
        <w:ind w:left="-40" w:right="300" w:firstLine="975"/>
        <w:spacing w:after="0" w:line="277" w:lineRule="auto"/>
        <w:tabs>
          <w:tab w:leader="none" w:pos="11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Appreciation Rights may be exercised at any time during their term, subject to Section 5.2, to any specific conditions in their terms and to any rules adopted by the Board for the exercise of Stock Appreciation Rights.</w:t>
      </w:r>
    </w:p>
    <w:p>
      <w:pPr>
        <w:spacing w:after="0" w:line="163" w:lineRule="exact"/>
        <w:rPr>
          <w:rFonts w:ascii="Times New Roman" w:cs="Times New Roman" w:eastAsia="Times New Roman" w:hAnsi="Times New Roman"/>
          <w:sz w:val="18"/>
          <w:szCs w:val="18"/>
          <w:color w:val="auto"/>
        </w:rPr>
      </w:pPr>
    </w:p>
    <w:p>
      <w:pPr>
        <w:ind w:left="-40" w:firstLine="975"/>
        <w:spacing w:after="0" w:line="277" w:lineRule="auto"/>
        <w:tabs>
          <w:tab w:leader="none" w:pos="119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form of payment upon exercise of a Stock Appreciation Right (cash, Stock or a combination of cash and Stock) is solely in the discretion of the Board.</w:t>
      </w:r>
    </w:p>
    <w:p>
      <w:pPr>
        <w:spacing w:after="0" w:line="163" w:lineRule="exact"/>
        <w:rPr>
          <w:rFonts w:ascii="Times New Roman" w:cs="Times New Roman" w:eastAsia="Times New Roman" w:hAnsi="Times New Roman"/>
          <w:sz w:val="18"/>
          <w:szCs w:val="18"/>
          <w:color w:val="auto"/>
        </w:rPr>
      </w:pPr>
    </w:p>
    <w:p>
      <w:pPr>
        <w:ind w:left="-40" w:right="220" w:firstLine="975"/>
        <w:spacing w:after="0" w:line="277" w:lineRule="auto"/>
        <w:tabs>
          <w:tab w:leader="none" w:pos="1183"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rules apply to the exercise of Stock Appreciation Rights, unless otherwise provided in the Award Agreement between the Company and the Recipient:</w:t>
      </w:r>
    </w:p>
    <w:p>
      <w:pPr>
        <w:spacing w:after="0" w:line="56" w:lineRule="exact"/>
        <w:rPr>
          <w:rFonts w:ascii="Times New Roman" w:cs="Times New Roman" w:eastAsia="Times New Roman" w:hAnsi="Times New Roman"/>
          <w:sz w:val="18"/>
          <w:szCs w:val="18"/>
          <w:color w:val="auto"/>
        </w:rPr>
      </w:pPr>
    </w:p>
    <w:p>
      <w:pPr>
        <w:ind w:left="380" w:right="340" w:firstLine="951"/>
        <w:spacing w:after="0" w:line="262" w:lineRule="auto"/>
        <w:tabs>
          <w:tab w:leader="none" w:pos="153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Recipient dies, any Stock Appreciation Right may, to the extent it was exercisable at his death, be exercised by his estate, within one (1) year after his date of death or such shorter period as the Stock Appreciation Right may provide. Any portion of the Stock Appreciation Right that has not vested as of the date of death shall be canceled.</w:t>
      </w:r>
    </w:p>
    <w:p>
      <w:pPr>
        <w:spacing w:after="0" w:line="70" w:lineRule="exact"/>
        <w:rPr>
          <w:rFonts w:ascii="Times New Roman" w:cs="Times New Roman" w:eastAsia="Times New Roman" w:hAnsi="Times New Roman"/>
          <w:sz w:val="18"/>
          <w:szCs w:val="18"/>
          <w:color w:val="auto"/>
        </w:rPr>
      </w:pPr>
    </w:p>
    <w:p>
      <w:pPr>
        <w:ind w:left="380" w:right="60" w:firstLine="951"/>
        <w:spacing w:after="0" w:line="257" w:lineRule="auto"/>
        <w:tabs>
          <w:tab w:leader="none" w:pos="158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Recipient terminates employment because he has become permanently and totally disabled, he may exercise any Stock Appreciation Right to the extent it was exercisable at his termination of employment, but only within one (1) year after his termination of employment or such shorter period as the Stock Appreciation Right may provide. Any portion of the Stock Appreciation Right that has not vested as of the date of disability shall be canceled.</w:t>
      </w:r>
    </w:p>
    <w:p>
      <w:pPr>
        <w:spacing w:after="0" w:line="75" w:lineRule="exact"/>
        <w:rPr>
          <w:rFonts w:ascii="Times New Roman" w:cs="Times New Roman" w:eastAsia="Times New Roman" w:hAnsi="Times New Roman"/>
          <w:sz w:val="18"/>
          <w:szCs w:val="18"/>
          <w:color w:val="auto"/>
        </w:rPr>
      </w:pPr>
    </w:p>
    <w:p>
      <w:pPr>
        <w:ind w:left="380" w:right="80" w:firstLine="951"/>
        <w:spacing w:after="0" w:line="257" w:lineRule="auto"/>
        <w:tabs>
          <w:tab w:leader="none" w:pos="1633"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Recipient terminates employment for any reason other than death or permanent and total disability, he may exercise any Stock Appreciation Right to the extent it was exercisable at his termination of employment, but only within three (3) months after his termination of employment or such shorter or longer period as the Stock Appreciation Right may provide. Any portion of the Stock Appreciation Right that has not vested as of the date of termination shall be canceled.</w:t>
      </w:r>
    </w:p>
    <w:p>
      <w:pPr>
        <w:spacing w:after="0" w:line="75" w:lineRule="exact"/>
        <w:rPr>
          <w:rFonts w:ascii="Times New Roman" w:cs="Times New Roman" w:eastAsia="Times New Roman" w:hAnsi="Times New Roman"/>
          <w:sz w:val="18"/>
          <w:szCs w:val="18"/>
          <w:color w:val="auto"/>
        </w:rPr>
      </w:pPr>
    </w:p>
    <w:p>
      <w:pPr>
        <w:ind w:left="1640" w:hanging="309"/>
        <w:spacing w:after="0"/>
        <w:tabs>
          <w:tab w:leader="none" w:pos="1640" w:val="left"/>
        </w:tabs>
        <w:numPr>
          <w:ilvl w:val="1"/>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Subparagraph (i), (ii) or (iii) can never operate to make a Stock Appreciation Right exercisable beyond the term for which it was</w:t>
      </w:r>
    </w:p>
    <w:p>
      <w:pPr>
        <w:spacing w:after="0" w:line="37" w:lineRule="exact"/>
        <w:rPr>
          <w:rFonts w:ascii="Times New Roman" w:cs="Times New Roman" w:eastAsia="Times New Roman" w:hAnsi="Times New Roman"/>
          <w:sz w:val="17"/>
          <w:szCs w:val="17"/>
          <w:color w:val="auto"/>
        </w:rPr>
      </w:pPr>
    </w:p>
    <w:p>
      <w:pPr>
        <w:ind w:left="38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granted.</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820"/>
          </w:cols>
          <w:pgMar w:left="540" w:top="268" w:right="539" w:bottom="1440" w:gutter="0" w:footer="0" w:header="0"/>
        </w:sectPr>
      </w:pPr>
    </w:p>
    <w:bookmarkStart w:id="33" w:name="page34"/>
    <w:bookmarkEnd w:id="3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RESTRICTED STOCK AND RESTRICTED STOCK UNITS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6.1</w:t>
      </w:r>
      <w:r>
        <w:rPr>
          <w:rFonts w:ascii="Times New Roman" w:cs="Times New Roman" w:eastAsia="Times New Roman" w:hAnsi="Times New Roman"/>
          <w:sz w:val="18"/>
          <w:szCs w:val="18"/>
          <w:color w:val="auto"/>
        </w:rPr>
        <w:t xml:space="preserve"> The terms of each Grant of Restricted Stock or Restricted Stock Unit, as applicable, must include the following:</w:t>
      </w:r>
    </w:p>
    <w:p>
      <w:pPr>
        <w:spacing w:after="0" w:line="220" w:lineRule="exact"/>
        <w:rPr>
          <w:sz w:val="20"/>
          <w:szCs w:val="20"/>
          <w:color w:val="auto"/>
        </w:rPr>
      </w:pPr>
    </w:p>
    <w:p>
      <w:pPr>
        <w:ind w:left="1220" w:hanging="245"/>
        <w:spacing w:after="0"/>
        <w:tabs>
          <w:tab w:leader="none" w:pos="12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Recipient.</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of shares of Restricted Stock which are being granted or the number of Restricted Stock Units which are being granted, as</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applicable.</w:t>
      </w:r>
    </w:p>
    <w:p>
      <w:pPr>
        <w:spacing w:after="0" w:line="202" w:lineRule="exact"/>
        <w:rPr>
          <w:sz w:val="20"/>
          <w:szCs w:val="20"/>
          <w:color w:val="auto"/>
        </w:rPr>
      </w:pPr>
    </w:p>
    <w:p>
      <w:pPr>
        <w:ind w:left="1220" w:hanging="245"/>
        <w:spacing w:after="0"/>
        <w:tabs>
          <w:tab w:leader="none" w:pos="1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Recipient must pay any amount in connection with the Grant and if so, the amount and terms of that payment.</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restrictions applicable to the Grant and the conditions on which the restriction may be removed.</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Restricted Stock Units shall, upon vesting and lapse of any restrictions, be settled in cash, shares of Stock, or a combination of</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both.</w:t>
      </w:r>
    </w:p>
    <w:p>
      <w:pPr>
        <w:spacing w:after="0" w:line="202" w:lineRule="exact"/>
        <w:rPr>
          <w:sz w:val="20"/>
          <w:szCs w:val="20"/>
          <w:color w:val="auto"/>
        </w:rPr>
      </w:pPr>
    </w:p>
    <w:p>
      <w:pPr>
        <w:ind w:left="1200" w:hanging="225"/>
        <w:spacing w:after="0"/>
        <w:tabs>
          <w:tab w:leader="none" w:pos="12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treatment of the Grant upon termination of employment or service with the Company or upon a Change of Control.</w:t>
      </w:r>
    </w:p>
    <w:p>
      <w:pPr>
        <w:spacing w:after="0" w:line="216" w:lineRule="exact"/>
        <w:rPr>
          <w:rFonts w:ascii="Times New Roman" w:cs="Times New Roman" w:eastAsia="Times New Roman" w:hAnsi="Times New Roman"/>
          <w:sz w:val="18"/>
          <w:szCs w:val="18"/>
          <w:color w:val="auto"/>
        </w:rPr>
      </w:pPr>
    </w:p>
    <w:p>
      <w:pPr>
        <w:ind w:left="5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Article VII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STOCK AND PERFORMANCE STOCK UNITS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7.1</w:t>
      </w:r>
      <w:r>
        <w:rPr>
          <w:rFonts w:ascii="Times New Roman" w:cs="Times New Roman" w:eastAsia="Times New Roman" w:hAnsi="Times New Roman"/>
          <w:sz w:val="18"/>
          <w:szCs w:val="18"/>
          <w:color w:val="auto"/>
        </w:rPr>
        <w:t xml:space="preserve"> The terms of each grant of Performance Stock or Performance Stock Units must include the following:</w:t>
      </w:r>
    </w:p>
    <w:p>
      <w:pPr>
        <w:spacing w:after="0" w:line="220" w:lineRule="exact"/>
        <w:rPr>
          <w:sz w:val="20"/>
          <w:szCs w:val="20"/>
          <w:color w:val="auto"/>
        </w:rPr>
      </w:pPr>
    </w:p>
    <w:p>
      <w:pPr>
        <w:ind w:left="1220" w:hanging="245"/>
        <w:spacing w:after="0"/>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Recipient.</w:t>
      </w:r>
    </w:p>
    <w:p>
      <w:pPr>
        <w:spacing w:after="0" w:line="220" w:lineRule="exact"/>
        <w:rPr>
          <w:rFonts w:ascii="Times New Roman" w:cs="Times New Roman" w:eastAsia="Times New Roman" w:hAnsi="Times New Roman"/>
          <w:sz w:val="18"/>
          <w:szCs w:val="18"/>
          <w:color w:val="auto"/>
        </w:rPr>
      </w:pPr>
    </w:p>
    <w:p>
      <w:pPr>
        <w:ind w:right="520" w:firstLine="975"/>
        <w:spacing w:after="0" w:line="277" w:lineRule="auto"/>
        <w:tabs>
          <w:tab w:leader="none" w:pos="1233"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Performance Stock which are being granted or the number of Performance Stock Units which are being granted, as applicable.</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details of the applicable performance period, if any, and Performance Goals to apply.</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Recipient must pay any amount in connection with the Grant and if so, the amount and terms of that payment.</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whether Performance Stock Units shall, upon vesting and lapse of any restrictions, be settled in cash, shares of Stock, or a combination</w:t>
      </w:r>
    </w:p>
    <w:p>
      <w:pPr>
        <w:spacing w:after="0" w:line="37"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both.</w:t>
      </w:r>
    </w:p>
    <w:p>
      <w:pPr>
        <w:spacing w:after="0" w:line="201" w:lineRule="exact"/>
        <w:rPr>
          <w:rFonts w:ascii="Times New Roman" w:cs="Times New Roman" w:eastAsia="Times New Roman" w:hAnsi="Times New Roman"/>
          <w:sz w:val="17"/>
          <w:szCs w:val="17"/>
          <w:color w:val="auto"/>
        </w:rPr>
      </w:pPr>
    </w:p>
    <w:p>
      <w:pPr>
        <w:ind w:left="1200" w:hanging="225"/>
        <w:spacing w:after="0"/>
        <w:tabs>
          <w:tab w:leader="none" w:pos="12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treatment of the Grant upon termination of employment or service with the Company or upon a Change of Control.</w:t>
      </w:r>
    </w:p>
    <w:p>
      <w:pPr>
        <w:spacing w:after="0" w:line="1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840"/>
          </w:cols>
          <w:pgMar w:left="500" w:top="264" w:right="55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PHANTOM UNITS</w:t>
      </w:r>
    </w:p>
    <w:p>
      <w:pPr>
        <w:spacing w:after="0" w:line="22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Section 8.1</w:t>
      </w:r>
      <w:r>
        <w:rPr>
          <w:rFonts w:ascii="Times New Roman" w:cs="Times New Roman" w:eastAsia="Times New Roman" w:hAnsi="Times New Roman"/>
          <w:sz w:val="18"/>
          <w:szCs w:val="18"/>
          <w:color w:val="auto"/>
        </w:rPr>
        <w:t xml:space="preserve"> The terms of each Grant of Phantom Units must include the following, subject to Section 409A of the Code:</w:t>
      </w:r>
    </w:p>
    <w:p>
      <w:pPr>
        <w:spacing w:after="0" w:line="220" w:lineRule="exact"/>
        <w:rPr>
          <w:sz w:val="20"/>
          <w:szCs w:val="20"/>
          <w:color w:val="auto"/>
        </w:rPr>
      </w:pPr>
    </w:p>
    <w:p>
      <w:pPr>
        <w:ind w:left="1220" w:hanging="245"/>
        <w:spacing w:after="0"/>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the Recipient.</w:t>
      </w:r>
    </w:p>
    <w:p>
      <w:pPr>
        <w:spacing w:after="0" w:line="220" w:lineRule="exact"/>
        <w:rPr>
          <w:rFonts w:ascii="Times New Roman" w:cs="Times New Roman" w:eastAsia="Times New Roman" w:hAnsi="Times New Roman"/>
          <w:sz w:val="18"/>
          <w:szCs w:val="18"/>
          <w:color w:val="auto"/>
        </w:rPr>
      </w:pPr>
    </w:p>
    <w:p>
      <w:pPr>
        <w:ind w:right="740" w:firstLine="975"/>
        <w:spacing w:after="0" w:line="277" w:lineRule="auto"/>
        <w:tabs>
          <w:tab w:leader="none" w:pos="123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Stock underlying the Grant, or in the case of Phantom Units denominated in cash, the amount of cash represented by each Phantom Unit.</w:t>
      </w:r>
    </w:p>
    <w:p>
      <w:pPr>
        <w:spacing w:after="0" w:line="163" w:lineRule="exact"/>
        <w:rPr>
          <w:rFonts w:ascii="Times New Roman" w:cs="Times New Roman" w:eastAsia="Times New Roman" w:hAnsi="Times New Roman"/>
          <w:sz w:val="18"/>
          <w:szCs w:val="18"/>
          <w:color w:val="auto"/>
        </w:rPr>
      </w:pPr>
    </w:p>
    <w:p>
      <w:pPr>
        <w:ind w:right="560" w:firstLine="975"/>
        <w:spacing w:after="0" w:line="277" w:lineRule="auto"/>
        <w:tabs>
          <w:tab w:leader="none" w:pos="122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description of the restrictions applicable to the Grant and the conditions on which the restriction may be removed, as set forth in Sections 8.2 and 8.3.</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for treatment of the Grant upon termination of employment or service with the Company or upon a Change of Control.</w:t>
      </w:r>
    </w:p>
    <w:p>
      <w:pPr>
        <w:spacing w:after="0" w:line="220" w:lineRule="exact"/>
        <w:rPr>
          <w:sz w:val="20"/>
          <w:szCs w:val="20"/>
          <w:color w:val="auto"/>
        </w:rPr>
      </w:pPr>
    </w:p>
    <w:p>
      <w:pPr>
        <w:ind w:right="40" w:firstLine="436"/>
        <w:spacing w:after="0" w:line="257" w:lineRule="auto"/>
        <w:rPr>
          <w:sz w:val="20"/>
          <w:szCs w:val="20"/>
          <w:color w:val="auto"/>
        </w:rPr>
      </w:pPr>
      <w:r>
        <w:rPr>
          <w:rFonts w:ascii="Times New Roman" w:cs="Times New Roman" w:eastAsia="Times New Roman" w:hAnsi="Times New Roman"/>
          <w:sz w:val="18"/>
          <w:szCs w:val="18"/>
          <w:u w:val="single" w:color="auto"/>
          <w:color w:val="auto"/>
        </w:rPr>
        <w:t>Section 8.2</w:t>
      </w:r>
      <w:r>
        <w:rPr>
          <w:rFonts w:ascii="Times New Roman" w:cs="Times New Roman" w:eastAsia="Times New Roman" w:hAnsi="Times New Roman"/>
          <w:sz w:val="18"/>
          <w:szCs w:val="18"/>
          <w:color w:val="auto"/>
        </w:rPr>
        <w:t xml:space="preserve"> At the time of the grant of Phantom Units, the Committee shall establish a vesting date or vesting dates with respect to such units. Provided that all conditions to the vesting of the Phantom Units imposed are satisfied, and subject to other terms and condition of the Grant, upon the occurrence of the vesting date with respect to the Phantom Units, such units shall vest. The Committee may impose such restrictions or conditions to the vesting of such units as it, in its absolute discretion, deems appropriate, including, but not limited to, achievement of Performance Goals.</w:t>
      </w:r>
    </w:p>
    <w:p>
      <w:pPr>
        <w:spacing w:after="0" w:line="182" w:lineRule="exact"/>
        <w:rPr>
          <w:sz w:val="20"/>
          <w:szCs w:val="20"/>
          <w:color w:val="auto"/>
        </w:rPr>
      </w:pPr>
    </w:p>
    <w:p>
      <w:pPr>
        <w:ind w:firstLine="43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8.3</w:t>
      </w:r>
      <w:r>
        <w:rPr>
          <w:rFonts w:ascii="Times New Roman" w:cs="Times New Roman" w:eastAsia="Times New Roman" w:hAnsi="Times New Roman"/>
          <w:sz w:val="18"/>
          <w:szCs w:val="18"/>
          <w:color w:val="auto"/>
        </w:rPr>
        <w:t xml:space="preserve"> Unless otherwise provided at the time of grant, upon the vesting of Phantom Units, the Participant shall be paid, within thirty (30) days of the date on which such units vest, an amount, in cash and/or shares of Stock, as determined by the Committee. Unless otherwise provided at the time of grant, in the case of Grants denominated in shares of Stock, the amount per Phantom Unit shall be equal to the sum of (1) the Fair Market Value of a share of Stock on the date on which such Phantom Units vest and (2) the aggregate amount of cash dividends paid with respect to a share of Stock during the period commencing on the Date of Grant and terminating on the date on which such units vest. In the case of Grants denominated in cash, the amount per Phantom Unit shall be equal to the cash value of the Phantom Unit on the date on which such Phantom Unit vests.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EQUITY-BASED AWARDS</w:t>
      </w:r>
    </w:p>
    <w:p>
      <w:pPr>
        <w:spacing w:after="0" w:line="220" w:lineRule="exact"/>
        <w:rPr>
          <w:sz w:val="20"/>
          <w:szCs w:val="20"/>
          <w:color w:val="auto"/>
        </w:rPr>
      </w:pPr>
    </w:p>
    <w:p>
      <w:pPr>
        <w:ind w:right="140" w:firstLine="43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9.1</w:t>
      </w:r>
      <w:r>
        <w:rPr>
          <w:rFonts w:ascii="Times New Roman" w:cs="Times New Roman" w:eastAsia="Times New Roman" w:hAnsi="Times New Roman"/>
          <w:sz w:val="18"/>
          <w:szCs w:val="18"/>
          <w:color w:val="auto"/>
        </w:rPr>
        <w:t xml:space="preserve"> Other forms of Grants (“</w:t>
      </w:r>
      <w:r>
        <w:rPr>
          <w:rFonts w:ascii="Times New Roman" w:cs="Times New Roman" w:eastAsia="Times New Roman" w:hAnsi="Times New Roman"/>
          <w:sz w:val="18"/>
          <w:szCs w:val="18"/>
          <w:b w:val="1"/>
          <w:bCs w:val="1"/>
          <w:color w:val="auto"/>
        </w:rPr>
        <w:t>Other Equity-Based Awards</w:t>
      </w:r>
      <w:r>
        <w:rPr>
          <w:rFonts w:ascii="Times New Roman" w:cs="Times New Roman" w:eastAsia="Times New Roman" w:hAnsi="Times New Roman"/>
          <w:sz w:val="18"/>
          <w:szCs w:val="18"/>
          <w:color w:val="auto"/>
        </w:rPr>
        <w:t>”) valued in whole or in part by reference to, or otherwise based on, Stock, including but not limited to Dividend Equivalent Rights, may be granted either alone or in addition to other Grants (other than in connection with Options or Stock Appreciation Rights) under the Plan. Subject to the provisions of the Plan, the Board shall have sole and complete authority to determine the persons to whom and the time or times at which such Other Equity-Based Awards shall be granted, the number of shares of Stock to be granted pursuant to such Other Equity-Based Awards, or the manner in which such Other Equity-Based Awards shall be settled (e.g., in shares of Stock or cash), or the conditions to the vesting and/or payment or settlement of such Other Equity-Based Awards (which may include, but not be limited to, achievement of Performance Goals).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500" w:top="264" w:right="49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ADMINISTRATION</w:t>
      </w:r>
    </w:p>
    <w:p>
      <w:pPr>
        <w:spacing w:after="0" w:line="224" w:lineRule="exact"/>
        <w:rPr>
          <w:sz w:val="20"/>
          <w:szCs w:val="20"/>
          <w:color w:val="auto"/>
        </w:rPr>
      </w:pPr>
    </w:p>
    <w:p>
      <w:pPr>
        <w:ind w:firstLine="436"/>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The Plan shall be administered by the Committee and shall be administered in accordance with the requirements of Rule 16b-3, to the extent applicable. The complete authority to control and manage the operation and administration of the Plan is placed in the Committee. The Board will designate the members of the Committee. Notwithstanding the foregoing, any action taken under this Plan by the Committee will be valid and effective whether or not members of the Committee at the time of such action are later determined not to have satisfied the requirements for membership set forth in this Section 10.1 or otherwise provided in any charter of the Committee.</w:t>
      </w:r>
    </w:p>
    <w:p>
      <w:pPr>
        <w:spacing w:after="0" w:line="183" w:lineRule="exact"/>
        <w:rPr>
          <w:sz w:val="20"/>
          <w:szCs w:val="20"/>
          <w:color w:val="auto"/>
        </w:rPr>
      </w:pPr>
    </w:p>
    <w:p>
      <w:pPr>
        <w:ind w:right="34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10.2</w:t>
      </w:r>
      <w:r>
        <w:rPr>
          <w:rFonts w:ascii="Times New Roman" w:cs="Times New Roman" w:eastAsia="Times New Roman" w:hAnsi="Times New Roman"/>
          <w:sz w:val="18"/>
          <w:szCs w:val="18"/>
          <w:color w:val="auto"/>
        </w:rPr>
        <w:t xml:space="preserve"> The Committee has all authority which is necessary or appropriate for the operation and administration of the Plan, including the following:</w:t>
      </w:r>
    </w:p>
    <w:p>
      <w:pPr>
        <w:spacing w:after="0" w:line="163" w:lineRule="exact"/>
        <w:rPr>
          <w:sz w:val="20"/>
          <w:szCs w:val="20"/>
          <w:color w:val="auto"/>
        </w:rPr>
      </w:pPr>
    </w:p>
    <w:p>
      <w:pPr>
        <w:ind w:left="1220" w:hanging="245"/>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Grants and determine their terms, subject to the provisions of the Plan.</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interpret the provisions of the Plan.</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adopt any rules, procedures and forms necessary for the operation and administration of the Plan which are consistent with its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w:t>
      </w:r>
    </w:p>
    <w:p>
      <w:pPr>
        <w:spacing w:after="0" w:line="202" w:lineRule="exact"/>
        <w:rPr>
          <w:sz w:val="20"/>
          <w:szCs w:val="20"/>
          <w:color w:val="auto"/>
        </w:rPr>
      </w:pPr>
    </w:p>
    <w:p>
      <w:pPr>
        <w:ind w:left="1220" w:hanging="245"/>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all questions relating to the eligibility and other rights of all persons under the Plan.</w:t>
      </w:r>
    </w:p>
    <w:p>
      <w:pPr>
        <w:spacing w:after="0" w:line="22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keep all records necessary for the operation and administration of the Plan.</w:t>
      </w:r>
    </w:p>
    <w:p>
      <w:pPr>
        <w:spacing w:after="0" w:line="220"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designate or employ agents and counsel (who may also be employed by an Employer) to assist in the administration of the Plan.</w:t>
      </w:r>
    </w:p>
    <w:p>
      <w:pPr>
        <w:spacing w:after="0" w:line="220" w:lineRule="exact"/>
        <w:rPr>
          <w:rFonts w:ascii="Times New Roman" w:cs="Times New Roman" w:eastAsia="Times New Roman" w:hAnsi="Times New Roman"/>
          <w:sz w:val="18"/>
          <w:szCs w:val="18"/>
          <w:color w:val="auto"/>
        </w:rPr>
      </w:pPr>
    </w:p>
    <w:p>
      <w:pPr>
        <w:ind w:right="540" w:firstLine="975"/>
        <w:spacing w:after="0" w:line="277" w:lineRule="auto"/>
        <w:tabs>
          <w:tab w:leader="none" w:pos="1233"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whether, to what extent, and under what circumstances any Grant may be settled, cancelled, forfeited, accelerated, exchanged, or surrendered.</w:t>
      </w:r>
    </w:p>
    <w:p>
      <w:pPr>
        <w:spacing w:after="0" w:line="163"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provisions of the Award Agreements (which need not be identical for each Recipient).</w:t>
      </w:r>
    </w:p>
    <w:p>
      <w:pPr>
        <w:spacing w:after="0" w:line="220" w:lineRule="exact"/>
        <w:rPr>
          <w:rFonts w:ascii="Times New Roman" w:cs="Times New Roman" w:eastAsia="Times New Roman" w:hAnsi="Times New Roman"/>
          <w:sz w:val="18"/>
          <w:szCs w:val="18"/>
          <w:color w:val="auto"/>
        </w:rPr>
      </w:pPr>
    </w:p>
    <w:p>
      <w:pPr>
        <w:ind w:right="540" w:firstLine="975"/>
        <w:spacing w:after="0" w:line="277" w:lineRule="auto"/>
        <w:tabs>
          <w:tab w:leader="none" w:pos="119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cause any shares of Stock acquired by a Recipient through exercise or settlement of a Grant to be recorded on the Company’s records in the Recipients’ name, and to cause such shares to be issued to the Recipient or to his brokerage account, as he elects.</w:t>
      </w:r>
    </w:p>
    <w:p>
      <w:pPr>
        <w:spacing w:after="0" w:line="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880"/>
          </w:cols>
          <w:pgMar w:left="500" w:top="264" w:right="519" w:bottom="1440" w:gutter="0" w:footer="0" w:header="0"/>
        </w:sectPr>
      </w:pPr>
    </w:p>
    <w:bookmarkStart w:id="36" w:name="page37"/>
    <w:bookmarkEnd w:id="36"/>
    <w:p>
      <w:pPr>
        <w:ind w:left="1180" w:hanging="205"/>
        <w:spacing w:after="0"/>
        <w:tabs>
          <w:tab w:leader="none" w:pos="11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cause any withholding of tax required in connection with a Grant to be made.</w:t>
      </w:r>
    </w:p>
    <w:p>
      <w:pPr>
        <w:spacing w:after="0" w:line="220" w:lineRule="exact"/>
        <w:rPr>
          <w:rFonts w:ascii="Times New Roman" w:cs="Times New Roman" w:eastAsia="Times New Roman" w:hAnsi="Times New Roman"/>
          <w:sz w:val="18"/>
          <w:szCs w:val="18"/>
          <w:color w:val="auto"/>
        </w:rPr>
      </w:pPr>
    </w:p>
    <w:p>
      <w:pPr>
        <w:ind w:right="500" w:firstLine="975"/>
        <w:spacing w:after="0" w:line="277" w:lineRule="auto"/>
        <w:tabs>
          <w:tab w:leader="none" w:pos="12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duration and purpose of leaves of absence which may be granted to an Eligible Participant without constituting termination of the Eligible Participant’s employment or service for purposes of Grants made under the Plan.</w:t>
      </w:r>
    </w:p>
    <w:p>
      <w:pPr>
        <w:spacing w:after="0" w:line="163" w:lineRule="exact"/>
        <w:rPr>
          <w:rFonts w:ascii="Times New Roman" w:cs="Times New Roman" w:eastAsia="Times New Roman" w:hAnsi="Times New Roman"/>
          <w:sz w:val="18"/>
          <w:szCs w:val="18"/>
          <w:color w:val="auto"/>
        </w:rPr>
      </w:pPr>
    </w:p>
    <w:p>
      <w:pPr>
        <w:ind w:right="140" w:firstLine="975"/>
        <w:spacing w:after="0" w:line="252" w:lineRule="auto"/>
        <w:tabs>
          <w:tab w:leader="none" w:pos="119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the administration of the Plan. Notwithstanding the foregoing, except for adjustments contemplated by Section 2.2, the terms of outstanding Grants may not be amended to reduce the exercise price of outstanding Options or Stock Appreciation Rights or cancel outstanding Options or Stock Appreciation Rights in exchange for cash, other awards or Options or Stock Appreciation Rights with an exercise price that is less than the exercise price of the original Options or Stock Appreciation Rights without stockholder approval. The Board may correct any defect or supply any omission or reconcile any inconsistency in the Plan or in any Award Agreement in the manner and to the extent it shall deem expedient to carry the Plan into effect and shall be the sole and final judge of such expediency. No Board member shall be liable for any action or determination made with respect to the Plan or any Grant made hereunder.</w:t>
      </w:r>
    </w:p>
    <w:p>
      <w:pPr>
        <w:spacing w:after="0" w:line="188" w:lineRule="exact"/>
        <w:rPr>
          <w:rFonts w:ascii="Times New Roman" w:cs="Times New Roman" w:eastAsia="Times New Roman" w:hAnsi="Times New Roman"/>
          <w:sz w:val="18"/>
          <w:szCs w:val="18"/>
          <w:color w:val="auto"/>
        </w:rPr>
      </w:pPr>
    </w:p>
    <w:p>
      <w:pPr>
        <w:jc w:val="both"/>
        <w:ind w:firstLine="975"/>
        <w:spacing w:after="0" w:line="257" w:lineRule="auto"/>
        <w:tabs>
          <w:tab w:leader="none" w:pos="128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Committee may, in its sole discretion, delegate its authority, in whole or in part, under this Article X (including, but not limited to, its authority to make Grants under the Plan, other than its authority to make Grants under the Plan to any Eligible Participant who is subject to reporting under Section 16 of the Exchange Act) to one or more officers of the Company, subject to the requirements of applicable law or any stock exchange on which the Stock is traded.</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 AND TERMINATION</w:t>
      </w:r>
    </w:p>
    <w:p>
      <w:pPr>
        <w:spacing w:after="0" w:line="224" w:lineRule="exact"/>
        <w:rPr>
          <w:sz w:val="20"/>
          <w:szCs w:val="20"/>
          <w:color w:val="auto"/>
        </w:rPr>
      </w:pPr>
    </w:p>
    <w:p>
      <w:pPr>
        <w:ind w:right="60" w:firstLine="436"/>
        <w:spacing w:after="0" w:line="253" w:lineRule="auto"/>
        <w:rPr>
          <w:sz w:val="20"/>
          <w:szCs w:val="20"/>
          <w:color w:val="auto"/>
        </w:rPr>
      </w:pP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The Plan may be amended or terminated at any time by action of the Board. However, no amendment may, without stockholder approval (i) increase the aggregate number of shares available for Grants (except to reflect an event described in Section 2.2); (ii) extend the term of the Plan; (iii) materially expand the types of awards available under the Plan; (iv) change the definition of Eligible Participant to add a category or categories of individuals who are eligible to participate in the Plan; (v) delete or limit the prohibition against repricing of Options or Stock Appreciation Rights contained in Section 10.2(l); or (vi) make other changes which require approval by the stockholders of the Company in order to comply with applicable law or the NASDAQ Stock Market Rules.</w:t>
      </w:r>
    </w:p>
    <w:p>
      <w:pPr>
        <w:spacing w:after="0" w:line="187" w:lineRule="exact"/>
        <w:rPr>
          <w:sz w:val="20"/>
          <w:szCs w:val="20"/>
          <w:color w:val="auto"/>
        </w:rPr>
      </w:pPr>
    </w:p>
    <w:p>
      <w:pPr>
        <w:ind w:right="18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11.2</w:t>
      </w:r>
      <w:r>
        <w:rPr>
          <w:rFonts w:ascii="Times New Roman" w:cs="Times New Roman" w:eastAsia="Times New Roman" w:hAnsi="Times New Roman"/>
          <w:sz w:val="18"/>
          <w:szCs w:val="18"/>
          <w:color w:val="auto"/>
        </w:rPr>
        <w:t xml:space="preserve"> If the Plan is not, within twelve (12) months of its Effective Date, approved by a majority of the shares voted at a regular or special meeting of the Company’s stockholders, the Plan will terminate and all Grants made under it will be canceled.</w:t>
      </w:r>
    </w:p>
    <w:p>
      <w:pPr>
        <w:spacing w:after="0" w:line="163" w:lineRule="exact"/>
        <w:rPr>
          <w:sz w:val="20"/>
          <w:szCs w:val="20"/>
          <w:color w:val="auto"/>
        </w:rPr>
      </w:pPr>
    </w:p>
    <w:p>
      <w:pPr>
        <w:ind w:right="40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11.3</w:t>
      </w:r>
      <w:r>
        <w:rPr>
          <w:rFonts w:ascii="Times New Roman" w:cs="Times New Roman" w:eastAsia="Times New Roman" w:hAnsi="Times New Roman"/>
          <w:sz w:val="18"/>
          <w:szCs w:val="18"/>
          <w:color w:val="auto"/>
        </w:rPr>
        <w:t xml:space="preserve"> No amendment or termination of the Plan (other than termination under Section 11.2) may adversely modify any person’s rights under an outstanding Grant unless he consents to the modification in writing.</w:t>
      </w:r>
    </w:p>
    <w:p>
      <w:pPr>
        <w:spacing w:after="0" w:line="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880"/>
          </w:cols>
          <w:pgMar w:left="500" w:top="268" w:right="519" w:bottom="1440" w:gutter="0" w:footer="0" w:header="0"/>
        </w:sectPr>
      </w:pPr>
    </w:p>
    <w:bookmarkStart w:id="37" w:name="page38"/>
    <w:bookmarkEnd w:id="37"/>
    <w:p>
      <w:pPr>
        <w:ind w:right="2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Section 11.4</w:t>
      </w:r>
      <w:r>
        <w:rPr>
          <w:rFonts w:ascii="Times New Roman" w:cs="Times New Roman" w:eastAsia="Times New Roman" w:hAnsi="Times New Roman"/>
          <w:sz w:val="18"/>
          <w:szCs w:val="18"/>
          <w:color w:val="auto"/>
        </w:rPr>
        <w:t xml:space="preserve"> No Grants may be made under the Plan after the tenth anniversary of the Effective Date; provided, however, that the expiration of the tenth anniversary of the Effective Date shall not affect outstanding Grants under the Plan, which shall remain in full force and effect.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XII</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24" w:lineRule="exact"/>
        <w:rPr>
          <w:sz w:val="20"/>
          <w:szCs w:val="20"/>
          <w:color w:val="auto"/>
        </w:rPr>
      </w:pPr>
    </w:p>
    <w:p>
      <w:pPr>
        <w:ind w:right="80" w:firstLine="436"/>
        <w:spacing w:after="0" w:line="257" w:lineRule="auto"/>
        <w:rPr>
          <w:sz w:val="20"/>
          <w:szCs w:val="20"/>
          <w:color w:val="auto"/>
        </w:rPr>
      </w:pPr>
      <w:r>
        <w:rPr>
          <w:rFonts w:ascii="Times New Roman" w:cs="Times New Roman" w:eastAsia="Times New Roman" w:hAnsi="Times New Roman"/>
          <w:sz w:val="18"/>
          <w:szCs w:val="18"/>
          <w:u w:val="single" w:color="auto"/>
          <w:color w:val="auto"/>
        </w:rPr>
        <w:t>Section 12.1</w:t>
      </w:r>
      <w:r>
        <w:rPr>
          <w:rFonts w:ascii="Times New Roman" w:cs="Times New Roman" w:eastAsia="Times New Roman" w:hAnsi="Times New Roman"/>
          <w:sz w:val="18"/>
          <w:szCs w:val="18"/>
          <w:color w:val="auto"/>
        </w:rPr>
        <w:t xml:space="preserve"> Neither the provisions of this Plan, nor the fact that a Recipient receives a Grant will constitute or be evidence of a contract of employment, position or compensation level, or give such Recipient any right to continued employment with the Employer. Neither the provisions of this Plan nor the fact that a Recipient receives a Grant will be construed as the Company’s guarantee of the tax effects for the Recipient of the receipt of a Grant, transfer of the same, exercise of the same, or the retention or sale of the underlying Stock.</w:t>
      </w:r>
    </w:p>
    <w:p>
      <w:pPr>
        <w:spacing w:after="0" w:line="182" w:lineRule="exact"/>
        <w:rPr>
          <w:sz w:val="20"/>
          <w:szCs w:val="20"/>
          <w:color w:val="auto"/>
        </w:rPr>
      </w:pPr>
    </w:p>
    <w:p>
      <w:pPr>
        <w:ind w:firstLine="436"/>
        <w:spacing w:after="0" w:line="249" w:lineRule="auto"/>
        <w:rPr>
          <w:sz w:val="20"/>
          <w:szCs w:val="20"/>
          <w:color w:val="auto"/>
        </w:rPr>
      </w:pPr>
      <w:r>
        <w:rPr>
          <w:rFonts w:ascii="Times New Roman" w:cs="Times New Roman" w:eastAsia="Times New Roman" w:hAnsi="Times New Roman"/>
          <w:sz w:val="18"/>
          <w:szCs w:val="18"/>
          <w:u w:val="single" w:color="auto"/>
          <w:color w:val="auto"/>
        </w:rPr>
        <w:t>Section 12.2</w:t>
      </w:r>
      <w:r>
        <w:rPr>
          <w:rFonts w:ascii="Times New Roman" w:cs="Times New Roman" w:eastAsia="Times New Roman" w:hAnsi="Times New Roman"/>
          <w:sz w:val="18"/>
          <w:szCs w:val="18"/>
          <w:color w:val="auto"/>
        </w:rPr>
        <w:t xml:space="preserve"> Each Recipient shall, no later than the date as of which the value of a Grant first becomes includible in the gross income of such Recipient for purposes of applicable taxes, pay to the Company, or make arrangements satisfactory to the Company regarding payment of, an amount in respect of such taxes up to the maximum statutory rates in the Recipient’s applicable jurisdiction with respect to the Grant, as determined by the Company. The obligations of the Company under the Plan shall be conditional on the making of such payments or arrangements, and the Company shall, to the extent permitted by law, have the right to deduct any such taxes from any payment of any kind otherwise due to such Recipient. Whenever cash is to be paid pursuant to a Grant, the Company shall have the right to deduct therefrom an amount sufficient to satisfy any applicable withholding tax requirements related thereto as determined by the Company. Whenever Stock or property other than cash are to be delivered pursuant to a Grant, the Company shall have the right to require the Recipient to remit to the Company in cash an amount sufficient to satisfy any related taxes to be withheld and applied to the tax obligations as determined by the Company with respect to the Grant (including with respect to associated dividends, Dividend Equivalents or DDEs); provided, that, with the approval of the Committee, a Recipient may satisfy the foregoing requirement by either (i) electing to have the Company withhold from such delivery Stock or other property, as applicable, or (ii) by delivering already owned unrestricted shares of Stock, in each case, having a value not exceeding the applicable taxes to be withheld and applied to the tax obligations as determined by the Company. Such already owned and unrestricted shares of Stock shall be valued at their Fair Market Value on the date on which the amount of tax to be withheld is determined and any fractional share amounts resulting therefrom shall be settled in cash. Such an election may be made with respect to all or any portion of the Stock to be delivered pursuant to a Grant. The Company may also use any other method of obtaining the necessary payment or proceeds, as permitted by law, to satisfy its withholding obligation with respect to any Grant as determined by the Company.</w:t>
      </w:r>
    </w:p>
    <w:p>
      <w:pPr>
        <w:spacing w:after="0" w:line="197" w:lineRule="exact"/>
        <w:rPr>
          <w:sz w:val="20"/>
          <w:szCs w:val="20"/>
          <w:color w:val="auto"/>
        </w:rPr>
      </w:pPr>
    </w:p>
    <w:p>
      <w:pPr>
        <w:ind w:right="100" w:firstLine="436"/>
        <w:spacing w:after="0" w:line="257" w:lineRule="auto"/>
        <w:rPr>
          <w:sz w:val="20"/>
          <w:szCs w:val="20"/>
          <w:color w:val="auto"/>
        </w:rPr>
      </w:pPr>
      <w:r>
        <w:rPr>
          <w:rFonts w:ascii="Times New Roman" w:cs="Times New Roman" w:eastAsia="Times New Roman" w:hAnsi="Times New Roman"/>
          <w:sz w:val="18"/>
          <w:szCs w:val="18"/>
          <w:u w:val="single" w:color="auto"/>
          <w:color w:val="auto"/>
        </w:rPr>
        <w:t>Section 12.3</w:t>
      </w:r>
      <w:r>
        <w:rPr>
          <w:rFonts w:ascii="Times New Roman" w:cs="Times New Roman" w:eastAsia="Times New Roman" w:hAnsi="Times New Roman"/>
          <w:sz w:val="18"/>
          <w:szCs w:val="18"/>
          <w:color w:val="auto"/>
        </w:rPr>
        <w:t xml:space="preserve"> The Plan as well as payments and benefits under the Plan are intended to be exempt from, or to the extent subject thereto, to comply with Section 409A of the Code, and, accordingly, to the maximum extent permitted, the Plan shall be interpreted in accordance therewith. Notwithstanding anything contained herein to the contrary, to the extent required in order to avoid accelerated taxation and/or tax penalties under Section 409A of the Code, the Recipient shall not be considered to have terminated employment or service with the Company for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880"/>
          </w:cols>
          <w:pgMar w:left="500" w:top="268" w:right="519" w:bottom="1440" w:gutter="0" w:footer="0" w:header="0"/>
        </w:sectPr>
      </w:pPr>
    </w:p>
    <w:bookmarkStart w:id="38" w:name="page39"/>
    <w:bookmarkEnd w:id="38"/>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purposes of the Plan and no payment shall be due to the Recipient under the Plan or any Grant until the Recipient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Grants (or any other amounts payable under any plan, program or arrangement of the Employer) are payable upon a separation from service and such payment would result in the imposition of any individual tax and penalty interest charges imposed under Section 409A of the Code, the settlement and payment of such Grants (or other amounts) shall instead be made on the first business day after the date that is six (6) months following such separation from service (or upon the Recipient death, if earlier). Each amount to be paid or benefit to be provided under this Plan shall be construed as a separate identified payment for purposes of Section 409A of the Code. The Company makes no representation that any or all of the payments or benefits described in this Plan will be exempt from or comply with Section 409A of the Code and makes no undertaking to preclude Section 409A of the Code from applying to any such payment. The Recipient shall be solely responsible for the payment of any taxes and penalties incurred under Section 409A of the Code.</w:t>
      </w:r>
    </w:p>
    <w:p>
      <w:pPr>
        <w:spacing w:after="0" w:line="193" w:lineRule="exact"/>
        <w:rPr>
          <w:sz w:val="20"/>
          <w:szCs w:val="20"/>
          <w:color w:val="auto"/>
        </w:rPr>
      </w:pPr>
    </w:p>
    <w:p>
      <w:pPr>
        <w:ind w:right="240" w:firstLine="43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12.4</w:t>
      </w:r>
      <w:r>
        <w:rPr>
          <w:rFonts w:ascii="Times New Roman" w:cs="Times New Roman" w:eastAsia="Times New Roman" w:hAnsi="Times New Roman"/>
          <w:sz w:val="18"/>
          <w:szCs w:val="18"/>
          <w:color w:val="auto"/>
        </w:rPr>
        <w:t xml:space="preserve"> If any provision of this Plan is held illegal or invalid for any reason, such illegality or invalidity will not affect the remaining provisions. Instead, each provision is fully severable and this Plan will be construed and enforced as if any illegal or invalid provision had never been included.</w:t>
      </w:r>
    </w:p>
    <w:p>
      <w:pPr>
        <w:spacing w:after="0" w:line="177" w:lineRule="exact"/>
        <w:rPr>
          <w:sz w:val="20"/>
          <w:szCs w:val="20"/>
          <w:color w:val="auto"/>
        </w:rPr>
      </w:pPr>
    </w:p>
    <w:p>
      <w:pPr>
        <w:ind w:right="38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12.5</w:t>
      </w:r>
      <w:r>
        <w:rPr>
          <w:rFonts w:ascii="Times New Roman" w:cs="Times New Roman" w:eastAsia="Times New Roman" w:hAnsi="Times New Roman"/>
          <w:sz w:val="18"/>
          <w:szCs w:val="18"/>
          <w:color w:val="auto"/>
        </w:rPr>
        <w:t xml:space="preserve"> Except as provided in federal law, the provisions of the Plan will be construed in accordance with the laws of Delaware, without giving effect to principles of conflicts of laws</w:t>
      </w:r>
    </w:p>
    <w:p>
      <w:pPr>
        <w:spacing w:after="0" w:line="163" w:lineRule="exact"/>
        <w:rPr>
          <w:sz w:val="20"/>
          <w:szCs w:val="20"/>
          <w:color w:val="auto"/>
        </w:rPr>
      </w:pPr>
    </w:p>
    <w:p>
      <w:pPr>
        <w:ind w:right="300" w:firstLine="436"/>
        <w:spacing w:after="0" w:line="277" w:lineRule="auto"/>
        <w:rPr>
          <w:sz w:val="20"/>
          <w:szCs w:val="20"/>
          <w:color w:val="auto"/>
        </w:rPr>
      </w:pPr>
      <w:r>
        <w:rPr>
          <w:rFonts w:ascii="Times New Roman" w:cs="Times New Roman" w:eastAsia="Times New Roman" w:hAnsi="Times New Roman"/>
          <w:sz w:val="18"/>
          <w:szCs w:val="18"/>
          <w:u w:val="single" w:color="auto"/>
          <w:color w:val="auto"/>
        </w:rPr>
        <w:t>Section 12.6</w:t>
      </w:r>
      <w:r>
        <w:rPr>
          <w:rFonts w:ascii="Times New Roman" w:cs="Times New Roman" w:eastAsia="Times New Roman" w:hAnsi="Times New Roman"/>
          <w:sz w:val="18"/>
          <w:szCs w:val="18"/>
          <w:color w:val="auto"/>
        </w:rPr>
        <w:t xml:space="preserve"> All Grants made under the Plan shall be subject to any clawback or recoupment policies of the Company as in effect from time to time, or as otherwise required by law or the NASDAQ Stock Market Rules.</w:t>
      </w:r>
    </w:p>
    <w:p>
      <w:pPr>
        <w:spacing w:after="0" w:line="163" w:lineRule="exact"/>
        <w:rPr>
          <w:sz w:val="20"/>
          <w:szCs w:val="20"/>
          <w:color w:val="auto"/>
        </w:rPr>
      </w:pPr>
    </w:p>
    <w:p>
      <w:pPr>
        <w:ind w:firstLine="43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12.7</w:t>
      </w:r>
      <w:r>
        <w:rPr>
          <w:rFonts w:ascii="Times New Roman" w:cs="Times New Roman" w:eastAsia="Times New Roman" w:hAnsi="Times New Roman"/>
          <w:sz w:val="18"/>
          <w:szCs w:val="18"/>
          <w:color w:val="auto"/>
        </w:rPr>
        <w:t xml:space="preserve"> In the event that the Company establishes, for itself or using the services of a third party, an automated system for the documentation, granting or exercise of Grants, such as a system using an internet website or interactive voice response, then the paperless documentation, granting or exercise of Grants by a Recipient may be permitted through the use of such an automated system</w:t>
      </w:r>
    </w:p>
    <w:p>
      <w:pPr>
        <w:spacing w:after="0" w:line="177" w:lineRule="exact"/>
        <w:rPr>
          <w:sz w:val="20"/>
          <w:szCs w:val="20"/>
          <w:color w:val="auto"/>
        </w:rPr>
      </w:pPr>
    </w:p>
    <w:p>
      <w:pPr>
        <w:ind w:right="80" w:firstLine="43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12.8</w:t>
      </w:r>
      <w:r>
        <w:rPr>
          <w:rFonts w:ascii="Times New Roman" w:cs="Times New Roman" w:eastAsia="Times New Roman" w:hAnsi="Times New Roman"/>
          <w:sz w:val="18"/>
          <w:szCs w:val="18"/>
          <w:color w:val="auto"/>
        </w:rPr>
        <w:t xml:space="preserve"> No fractional shares of Stock shall be issued or delivered pursuant to the Plan. The Committee shall determine whether cash, other Grants, or other property shall be issued or paid in lieu of such fractional shares or whether such fractional shares or any rights thereto shall be forfeited or otherwise eliminated.</w:t>
      </w:r>
    </w:p>
    <w:p>
      <w:pPr>
        <w:spacing w:after="0" w:line="177" w:lineRule="exact"/>
        <w:rPr>
          <w:sz w:val="20"/>
          <w:szCs w:val="20"/>
          <w:color w:val="auto"/>
        </w:rPr>
      </w:pPr>
    </w:p>
    <w:p>
      <w:pPr>
        <w:ind w:right="20" w:firstLine="436"/>
        <w:spacing w:after="0" w:line="257" w:lineRule="auto"/>
        <w:rPr>
          <w:sz w:val="20"/>
          <w:szCs w:val="20"/>
          <w:color w:val="auto"/>
        </w:rPr>
      </w:pPr>
      <w:r>
        <w:rPr>
          <w:rFonts w:ascii="Times New Roman" w:cs="Times New Roman" w:eastAsia="Times New Roman" w:hAnsi="Times New Roman"/>
          <w:sz w:val="18"/>
          <w:szCs w:val="18"/>
          <w:u w:val="single" w:color="auto"/>
          <w:color w:val="auto"/>
        </w:rPr>
        <w:t>Section 12.9</w:t>
      </w:r>
      <w:r>
        <w:rPr>
          <w:rFonts w:ascii="Times New Roman" w:cs="Times New Roman" w:eastAsia="Times New Roman" w:hAnsi="Times New Roman"/>
          <w:sz w:val="18"/>
          <w:szCs w:val="18"/>
          <w:color w:val="auto"/>
        </w:rPr>
        <w:t xml:space="preserve"> No Eligible Participant will have any of the rights of a stockholder with respect to any shares of Stock until the shares of Stock are issued to the Eligible Participant, except for any Dividend Equivalent Rights permitted by an applicable Award Agreement. Any Dividend Equivalent Rights will be subject to the same vesting or performance conditions as the underlying Grant. In addition, the Committee may provide that any Dividend Equivalent Rights permitted by</w:t>
      </w:r>
    </w:p>
    <w:p>
      <w:pPr>
        <w:spacing w:after="0" w:line="1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880"/>
          </w:cols>
          <w:pgMar w:left="500" w:top="268" w:right="519" w:bottom="1440" w:gutter="0" w:footer="0" w:header="0"/>
        </w:sectPr>
      </w:pPr>
    </w:p>
    <w:bookmarkStart w:id="39" w:name="page40"/>
    <w:bookmarkEnd w:id="39"/>
    <w:p>
      <w:pPr>
        <w:spacing w:after="0" w:line="250"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an applicable Award Agreement will be deemed to have been reinvested in additional shares of Stock or otherwise reinvested. After shares of Stock are issued to the Eligible Participant, the Eligible Participant will be a stockholder and have all the rights of a stockholder with respect to such shares of Stock, including the right to vote and receive all dividends or other distributions made or paid with respect to such shares of Stock; provided, that if such shares of Stock are Restricted Stock, then any new, additional or different securities the Eligible Participant may become entitled to receive with respect to such shares of Stock by virtue of a stock dividend, stock split or any other change in the corporate or capital structure of the Company will be subject to the same restrictions as the Restricted Stock; provided, further, that the Eligible Participant will have no right to such stock dividends or stock distributions with respect to unvested Grants, and any such dividends or stock distributions will be accrued and paid only at such time, if any, as such unvested Grants become vested shares of Stock. The Committee, in its discretion, may provide in the Award Agreement evidencing any Grant that the Eligible Participant will be entitled to Dividend Equivalent Rights with respect to the payment of cash dividends on shares of Stock underlying a Grant during the period beginning on the date the Grant is made and ending, with respect to each share of Stock subject to the Award, on the earlier of the date on which the Grant is exercised or settled or the date on which it is forfeited provided, that no Dividend Equivalent Right will be paid with respect to the unvested shares of Stock, and such dividends or stock distributions will be accrued and paid only at such time, if any, as such unvested shares of Stock become vested Grants. Such Dividend Equivalent Rights, if any, will be credited to the Eligible Participant in the form of additional whole shares of Stock as of the date of payment of such cash dividends on shares of Stock.</w:t>
      </w:r>
    </w:p>
    <w:p>
      <w:pPr>
        <w:spacing w:after="0" w:line="187" w:lineRule="exact"/>
        <w:rPr>
          <w:sz w:val="20"/>
          <w:szCs w:val="20"/>
          <w:color w:val="auto"/>
        </w:rPr>
      </w:pPr>
    </w:p>
    <w:p>
      <w:pPr>
        <w:jc w:val="both"/>
        <w:ind w:right="120" w:firstLine="436"/>
        <w:spacing w:after="0" w:line="262" w:lineRule="auto"/>
        <w:rPr>
          <w:sz w:val="20"/>
          <w:szCs w:val="20"/>
          <w:color w:val="auto"/>
        </w:rPr>
      </w:pPr>
      <w:r>
        <w:rPr>
          <w:rFonts w:ascii="Times New Roman" w:cs="Times New Roman" w:eastAsia="Times New Roman" w:hAnsi="Times New Roman"/>
          <w:sz w:val="18"/>
          <w:szCs w:val="18"/>
          <w:u w:val="single" w:color="auto"/>
          <w:color w:val="auto"/>
        </w:rPr>
        <w:t>Section 12.10</w:t>
      </w:r>
      <w:r>
        <w:rPr>
          <w:rFonts w:ascii="Times New Roman" w:cs="Times New Roman" w:eastAsia="Times New Roman" w:hAnsi="Times New Roman"/>
          <w:sz w:val="18"/>
          <w:szCs w:val="18"/>
          <w:color w:val="auto"/>
        </w:rPr>
        <w:t xml:space="preserve"> 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880"/>
          </w:cols>
          <w:pgMar w:left="500" w:top="268" w:right="51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w:t>
      </w:r>
      <w:r>
        <w:rPr>
          <w:rFonts w:ascii="Times New Roman" w:cs="Times New Roman" w:eastAsia="Times New Roman" w:hAnsi="Times New Roman"/>
          <w:sz w:val="14"/>
          <w:szCs w:val="14"/>
          <w:color w:val="auto"/>
        </w:rPr>
        <w:t>KADDEN</w:t>
      </w:r>
      <w:r>
        <w:rPr>
          <w:rFonts w:ascii="Times New Roman" w:cs="Times New Roman" w:eastAsia="Times New Roman" w:hAnsi="Times New Roman"/>
          <w:sz w:val="18"/>
          <w:szCs w:val="18"/>
          <w:color w:val="auto"/>
        </w:rPr>
        <w:t>, A</w:t>
      </w:r>
      <w:r>
        <w:rPr>
          <w:rFonts w:ascii="Times New Roman" w:cs="Times New Roman" w:eastAsia="Times New Roman" w:hAnsi="Times New Roman"/>
          <w:sz w:val="14"/>
          <w:szCs w:val="14"/>
          <w:color w:val="auto"/>
        </w:rPr>
        <w:t>RPS</w:t>
      </w:r>
      <w:r>
        <w:rPr>
          <w:rFonts w:ascii="Times New Roman" w:cs="Times New Roman" w:eastAsia="Times New Roman" w:hAnsi="Times New Roman"/>
          <w:sz w:val="18"/>
          <w:szCs w:val="18"/>
          <w:color w:val="auto"/>
        </w:rPr>
        <w:t>, S</w:t>
      </w:r>
      <w:r>
        <w:rPr>
          <w:rFonts w:ascii="Times New Roman" w:cs="Times New Roman" w:eastAsia="Times New Roman" w:hAnsi="Times New Roman"/>
          <w:sz w:val="14"/>
          <w:szCs w:val="14"/>
          <w:color w:val="auto"/>
        </w:rPr>
        <w:t>LATE</w:t>
      </w:r>
      <w:r>
        <w:rPr>
          <w:rFonts w:ascii="Times New Roman" w:cs="Times New Roman" w:eastAsia="Times New Roman" w:hAnsi="Times New Roman"/>
          <w:sz w:val="18"/>
          <w:szCs w:val="18"/>
          <w:color w:val="auto"/>
        </w:rPr>
        <w:t>, M</w:t>
      </w:r>
      <w:r>
        <w:rPr>
          <w:rFonts w:ascii="Times New Roman" w:cs="Times New Roman" w:eastAsia="Times New Roman" w:hAnsi="Times New Roman"/>
          <w:sz w:val="14"/>
          <w:szCs w:val="14"/>
          <w:color w:val="auto"/>
        </w:rPr>
        <w:t>EAGHER</w:t>
      </w:r>
      <w:r>
        <w:rPr>
          <w:rFonts w:ascii="Times New Roman" w:cs="Times New Roman" w:eastAsia="Times New Roman" w:hAnsi="Times New Roman"/>
          <w:sz w:val="18"/>
          <w:szCs w:val="18"/>
          <w:color w:val="auto"/>
        </w:rPr>
        <w:t xml:space="preserve"> &amp; F</w:t>
      </w:r>
      <w:r>
        <w:rPr>
          <w:rFonts w:ascii="Times New Roman" w:cs="Times New Roman" w:eastAsia="Times New Roman" w:hAnsi="Times New Roman"/>
          <w:sz w:val="14"/>
          <w:szCs w:val="14"/>
          <w:color w:val="auto"/>
        </w:rPr>
        <w:t>LOM LLP</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ONE MANHATTAN WEST</w:t>
      </w:r>
    </w:p>
    <w:p>
      <w:pPr>
        <w:spacing w:after="0" w:line="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NEW YORK, NY 10001</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8"/>
              </w:rPr>
              <w:t>TEL: (212) 735-3000</w:t>
            </w:r>
          </w:p>
        </w:tc>
        <w:tc>
          <w:tcPr>
            <w:tcW w:w="3040" w:type="dxa"/>
            <w:vAlign w:val="bottom"/>
          </w:tcPr>
          <w:p>
            <w:pPr>
              <w:spacing w:after="0"/>
              <w:rPr>
                <w:sz w:val="18"/>
                <w:szCs w:val="18"/>
                <w:color w:val="auto"/>
              </w:rPr>
            </w:pP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8"/>
              </w:rPr>
              <w:t>FAX: (212) 735-2000</w:t>
            </w: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7"/>
              </w:rPr>
              <w:t>FIRM/AFFILIATE</w:t>
            </w:r>
          </w:p>
        </w:tc>
      </w:tr>
      <w:tr>
        <w:trPr>
          <w:trHeight w:val="233"/>
        </w:trPr>
        <w:tc>
          <w:tcPr>
            <w:tcW w:w="1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2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8"/>
              </w:rPr>
              <w:t>www.skadden.com</w:t>
            </w: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OFFICES</w:t>
            </w:r>
          </w:p>
        </w:tc>
      </w:tr>
      <w:tr>
        <w:trPr>
          <w:trHeight w:val="240"/>
        </w:trPr>
        <w:tc>
          <w:tcPr>
            <w:tcW w:w="1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w:t>
            </w:r>
          </w:p>
        </w:tc>
      </w:tr>
      <w:tr>
        <w:trPr>
          <w:trHeight w:val="302"/>
        </w:trPr>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20" w:type="dxa"/>
            <w:vAlign w:val="bottom"/>
          </w:tcPr>
          <w:p>
            <w:pPr>
              <w:spacing w:after="0"/>
              <w:rPr>
                <w:sz w:val="24"/>
                <w:szCs w:val="24"/>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7"/>
              </w:rPr>
              <w:t>BOSTON</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9"/>
              </w:rPr>
              <w:t>CHICAGO</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7"/>
              </w:rPr>
              <w:t>HOUSTON</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7"/>
              </w:rPr>
              <w:t>LOS ANGELES</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4"/>
              </w:rPr>
              <w:t>PALO ALTO</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WASHINGTON, D.C.</w:t>
            </w:r>
          </w:p>
        </w:tc>
      </w:tr>
      <w:tr>
        <w:trPr>
          <w:trHeight w:val="233"/>
        </w:trPr>
        <w:tc>
          <w:tcPr>
            <w:tcW w:w="1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9"/>
              </w:rPr>
              <w:t>WILMINGTON</w:t>
            </w:r>
          </w:p>
        </w:tc>
      </w:tr>
      <w:tr>
        <w:trPr>
          <w:trHeight w:val="240"/>
        </w:trPr>
        <w:tc>
          <w:tcPr>
            <w:tcW w:w="1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w:t>
            </w:r>
          </w:p>
        </w:tc>
      </w:tr>
      <w:tr>
        <w:trPr>
          <w:trHeight w:val="302"/>
        </w:trPr>
        <w:tc>
          <w:tcPr>
            <w:tcW w:w="14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3820" w:type="dxa"/>
            <w:vAlign w:val="bottom"/>
          </w:tcPr>
          <w:p>
            <w:pPr>
              <w:jc w:val="center"/>
              <w:ind w:right="451"/>
              <w:spacing w:after="0"/>
              <w:rPr>
                <w:sz w:val="20"/>
                <w:szCs w:val="20"/>
                <w:color w:val="auto"/>
              </w:rPr>
            </w:pPr>
            <w:r>
              <w:rPr>
                <w:rFonts w:ascii="Times New Roman" w:cs="Times New Roman" w:eastAsia="Times New Roman" w:hAnsi="Times New Roman"/>
                <w:sz w:val="18"/>
                <w:szCs w:val="18"/>
                <w:color w:val="auto"/>
                <w:w w:val="99"/>
              </w:rPr>
              <w:t>July 2, 2026</w:t>
            </w: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ABU DHABI</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BEIJING</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8"/>
              </w:rPr>
              <w:t>BRUSSELS</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9"/>
              </w:rPr>
              <w:t>FRANKFURT</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9"/>
              </w:rPr>
              <w:t>HONG KONG</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7"/>
              </w:rPr>
              <w:t>LONDON</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8"/>
              </w:rPr>
              <w:t>MUNICH</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7"/>
              </w:rPr>
              <w:t>PARIS</w:t>
            </w:r>
          </w:p>
        </w:tc>
      </w:tr>
      <w:tr>
        <w:trPr>
          <w:trHeight w:val="21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Midera Food Processing, Inc.</w:t>
            </w: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7"/>
              </w:rPr>
              <w:t>SÃO PAULO</w:t>
            </w:r>
          </w:p>
        </w:tc>
      </w:tr>
      <w:tr>
        <w:trPr>
          <w:trHeight w:val="21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10275 West Higgins Road, Suite 300</w:t>
            </w: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9"/>
              </w:rPr>
              <w:t>SEOUL</w:t>
            </w:r>
          </w:p>
        </w:tc>
      </w:tr>
      <w:tr>
        <w:trPr>
          <w:trHeight w:val="214"/>
        </w:trPr>
        <w:tc>
          <w:tcPr>
            <w:tcW w:w="78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Rosemont, Illinois 60018</w:t>
            </w: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8"/>
              </w:rPr>
              <w:t>SINGAPORE</w:t>
            </w:r>
          </w:p>
        </w:tc>
      </w:tr>
      <w:tr>
        <w:trPr>
          <w:trHeight w:val="214"/>
        </w:trPr>
        <w:tc>
          <w:tcPr>
            <w:tcW w:w="142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3040" w:type="dxa"/>
            <w:vAlign w:val="bottom"/>
          </w:tcPr>
          <w:p>
            <w:pPr>
              <w:jc w:val="center"/>
              <w:ind w:left="1331"/>
              <w:spacing w:after="0"/>
              <w:rPr>
                <w:sz w:val="20"/>
                <w:szCs w:val="20"/>
                <w:color w:val="auto"/>
              </w:rPr>
            </w:pPr>
            <w:r>
              <w:rPr>
                <w:rFonts w:ascii="Times New Roman" w:cs="Times New Roman" w:eastAsia="Times New Roman" w:hAnsi="Times New Roman"/>
                <w:sz w:val="18"/>
                <w:szCs w:val="18"/>
                <w:color w:val="auto"/>
                <w:w w:val="98"/>
              </w:rPr>
              <w:t>TOKYO</w:t>
            </w:r>
          </w:p>
        </w:tc>
      </w:tr>
      <w:tr>
        <w:trPr>
          <w:trHeight w:val="233"/>
        </w:trPr>
        <w:tc>
          <w:tcPr>
            <w:tcW w:w="142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3820" w:type="dxa"/>
            <w:vAlign w:val="bottom"/>
          </w:tcPr>
          <w:p>
            <w:pPr>
              <w:spacing w:after="0"/>
              <w:rPr>
                <w:sz w:val="20"/>
                <w:szCs w:val="20"/>
                <w:color w:val="auto"/>
              </w:rPr>
            </w:pPr>
          </w:p>
        </w:tc>
        <w:tc>
          <w:tcPr>
            <w:tcW w:w="3040" w:type="dxa"/>
            <w:vAlign w:val="bottom"/>
          </w:tcPr>
          <w:p>
            <w:pPr>
              <w:jc w:val="center"/>
              <w:ind w:left="1311"/>
              <w:spacing w:after="0"/>
              <w:rPr>
                <w:sz w:val="20"/>
                <w:szCs w:val="20"/>
                <w:color w:val="auto"/>
              </w:rPr>
            </w:pPr>
            <w:r>
              <w:rPr>
                <w:rFonts w:ascii="Times New Roman" w:cs="Times New Roman" w:eastAsia="Times New Roman" w:hAnsi="Times New Roman"/>
                <w:sz w:val="18"/>
                <w:szCs w:val="18"/>
                <w:color w:val="auto"/>
                <w:w w:val="97"/>
              </w:rPr>
              <w:t>TORONTO</w:t>
            </w:r>
          </w:p>
        </w:tc>
      </w:tr>
      <w:tr>
        <w:trPr>
          <w:trHeight w:val="435"/>
        </w:trPr>
        <w:tc>
          <w:tcPr>
            <w:tcW w:w="7800" w:type="dxa"/>
            <w:vAlign w:val="bottom"/>
            <w:gridSpan w:val="3"/>
          </w:tcPr>
          <w:p>
            <w:pPr>
              <w:ind w:left="960"/>
              <w:spacing w:after="0"/>
              <w:rPr>
                <w:sz w:val="20"/>
                <w:szCs w:val="20"/>
                <w:color w:val="auto"/>
              </w:rPr>
            </w:pPr>
            <w:r>
              <w:rPr>
                <w:rFonts w:ascii="Times New Roman" w:cs="Times New Roman" w:eastAsia="Times New Roman" w:hAnsi="Times New Roman"/>
                <w:sz w:val="18"/>
                <w:szCs w:val="18"/>
                <w:color w:val="auto"/>
              </w:rPr>
              <w:t>Re:  Midera Food Processing, Inc.</w:t>
            </w:r>
          </w:p>
        </w:tc>
        <w:tc>
          <w:tcPr>
            <w:tcW w:w="3040" w:type="dxa"/>
            <w:vAlign w:val="bottom"/>
          </w:tcPr>
          <w:p>
            <w:pPr>
              <w:spacing w:after="0"/>
              <w:rPr>
                <w:sz w:val="24"/>
                <w:szCs w:val="24"/>
                <w:color w:val="auto"/>
              </w:rPr>
            </w:pPr>
          </w:p>
        </w:tc>
      </w:tr>
      <w:tr>
        <w:trPr>
          <w:trHeight w:val="192"/>
        </w:trPr>
        <w:tc>
          <w:tcPr>
            <w:tcW w:w="1420" w:type="dxa"/>
            <w:vAlign w:val="bottom"/>
          </w:tcPr>
          <w:p>
            <w:pPr>
              <w:spacing w:after="0"/>
              <w:rPr>
                <w:sz w:val="16"/>
                <w:szCs w:val="16"/>
                <w:color w:val="auto"/>
              </w:rPr>
            </w:pPr>
          </w:p>
        </w:tc>
        <w:tc>
          <w:tcPr>
            <w:tcW w:w="638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color w:val="auto"/>
              </w:rPr>
              <w:t>Registration Statement on Form S-8</w:t>
            </w:r>
          </w:p>
        </w:tc>
        <w:tc>
          <w:tcPr>
            <w:tcW w:w="3040" w:type="dxa"/>
            <w:vAlign w:val="bottom"/>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ind w:right="100" w:firstLine="436"/>
        <w:spacing w:after="0" w:line="273" w:lineRule="auto"/>
        <w:rPr>
          <w:sz w:val="20"/>
          <w:szCs w:val="20"/>
          <w:color w:val="auto"/>
        </w:rPr>
      </w:pPr>
      <w:r>
        <w:rPr>
          <w:rFonts w:ascii="Times New Roman" w:cs="Times New Roman" w:eastAsia="Times New Roman" w:hAnsi="Times New Roman"/>
          <w:sz w:val="17"/>
          <w:szCs w:val="17"/>
          <w:color w:val="auto"/>
        </w:rPr>
        <w:t>We have acted as special United States counsel to The Middleby Corporation, a Delaware corporation, in connection with the registration statement on Form S-8 (together with the exhibits thereto,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of Midera Food Processing, Inc., a Delaware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to be filed on the date hereof with the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The Registration Statement relates to the registration of 3,000,000 shares (the “</w:t>
      </w:r>
      <w:r>
        <w:rPr>
          <w:rFonts w:ascii="Times New Roman" w:cs="Times New Roman" w:eastAsia="Times New Roman" w:hAnsi="Times New Roman"/>
          <w:sz w:val="17"/>
          <w:szCs w:val="17"/>
          <w:u w:val="single" w:color="auto"/>
          <w:color w:val="auto"/>
        </w:rPr>
        <w:t>Shares</w:t>
      </w:r>
      <w:r>
        <w:rPr>
          <w:rFonts w:ascii="Times New Roman" w:cs="Times New Roman" w:eastAsia="Times New Roman" w:hAnsi="Times New Roman"/>
          <w:sz w:val="17"/>
          <w:szCs w:val="17"/>
          <w:color w:val="auto"/>
        </w:rPr>
        <w:t>”) of common stock, par value $0.01 per share (“</w:t>
      </w:r>
      <w:r>
        <w:rPr>
          <w:rFonts w:ascii="Times New Roman" w:cs="Times New Roman" w:eastAsia="Times New Roman" w:hAnsi="Times New Roman"/>
          <w:sz w:val="17"/>
          <w:szCs w:val="17"/>
          <w:u w:val="single" w:color="auto"/>
          <w:color w:val="auto"/>
        </w:rPr>
        <w:t>Common Stock</w:t>
      </w:r>
      <w:r>
        <w:rPr>
          <w:rFonts w:ascii="Times New Roman" w:cs="Times New Roman" w:eastAsia="Times New Roman" w:hAnsi="Times New Roman"/>
          <w:sz w:val="17"/>
          <w:szCs w:val="17"/>
          <w:color w:val="auto"/>
        </w:rPr>
        <w:t>”), of the Company available for future issuance under the Midera Food Processing, Inc. 2026 Long-Term Incentive Plan (the “</w:t>
      </w:r>
      <w:r>
        <w:rPr>
          <w:rFonts w:ascii="Times New Roman" w:cs="Times New Roman" w:eastAsia="Times New Roman" w:hAnsi="Times New Roman"/>
          <w:sz w:val="17"/>
          <w:szCs w:val="17"/>
          <w:u w:val="single" w:color="auto"/>
          <w:color w:val="auto"/>
        </w:rPr>
        <w:t>Plan</w:t>
      </w:r>
      <w:r>
        <w:rPr>
          <w:rFonts w:ascii="Times New Roman" w:cs="Times New Roman" w:eastAsia="Times New Roman" w:hAnsi="Times New Roman"/>
          <w:sz w:val="17"/>
          <w:szCs w:val="17"/>
          <w:color w:val="auto"/>
        </w:rPr>
        <w:t>”).</w:t>
      </w:r>
    </w:p>
    <w:p>
      <w:pPr>
        <w:spacing w:after="0" w:line="171" w:lineRule="exact"/>
        <w:rPr>
          <w:sz w:val="20"/>
          <w:szCs w:val="20"/>
          <w:color w:val="auto"/>
        </w:rPr>
      </w:pPr>
    </w:p>
    <w:p>
      <w:pPr>
        <w:ind w:right="160" w:firstLine="436"/>
        <w:spacing w:after="0" w:line="277" w:lineRule="auto"/>
        <w:rPr>
          <w:sz w:val="20"/>
          <w:szCs w:val="20"/>
          <w:color w:val="auto"/>
        </w:rPr>
      </w:pPr>
      <w:r>
        <w:rPr>
          <w:rFonts w:ascii="Times New Roman" w:cs="Times New Roman" w:eastAsia="Times New Roman" w:hAnsi="Times New Roman"/>
          <w:sz w:val="18"/>
          <w:szCs w:val="18"/>
          <w:color w:val="auto"/>
        </w:rPr>
        <w:t>This opinion letter is being furnished in accordance with the requirements of Item 601(b)(5) of Regulation S-K promulgated under the Securities Act (the “</w:t>
      </w:r>
      <w:r>
        <w:rPr>
          <w:rFonts w:ascii="Times New Roman" w:cs="Times New Roman" w:eastAsia="Times New Roman" w:hAnsi="Times New Roman"/>
          <w:sz w:val="18"/>
          <w:szCs w:val="18"/>
          <w:u w:val="single" w:color="auto"/>
          <w:color w:val="auto"/>
        </w:rPr>
        <w:t>Rules and Regulations</w:t>
      </w:r>
      <w:r>
        <w:rPr>
          <w:rFonts w:ascii="Times New Roman" w:cs="Times New Roman" w:eastAsia="Times New Roman" w:hAnsi="Times New Roman"/>
          <w:sz w:val="18"/>
          <w:szCs w:val="18"/>
          <w:color w:val="auto"/>
        </w:rPr>
        <w:t>”).</w:t>
      </w:r>
    </w:p>
    <w:p>
      <w:pPr>
        <w:spacing w:after="0" w:line="1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rendering the opinion stated herein, we have examined and relied upon the following:</w:t>
      </w:r>
    </w:p>
    <w:p>
      <w:pPr>
        <w:spacing w:after="0" w:line="220" w:lineRule="exact"/>
        <w:rPr>
          <w:sz w:val="20"/>
          <w:szCs w:val="20"/>
          <w:color w:val="auto"/>
        </w:rPr>
      </w:pPr>
    </w:p>
    <w:p>
      <w:pPr>
        <w:ind w:left="680" w:hanging="250"/>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 in the form to be filed with the Commission on the date hereof;</w:t>
      </w:r>
    </w:p>
    <w:p>
      <w:pPr>
        <w:spacing w:after="0" w:line="220" w:lineRule="exact"/>
        <w:rPr>
          <w:rFonts w:ascii="Times New Roman" w:cs="Times New Roman" w:eastAsia="Times New Roman" w:hAnsi="Times New Roman"/>
          <w:sz w:val="18"/>
          <w:szCs w:val="18"/>
          <w:color w:val="auto"/>
        </w:rPr>
      </w:pPr>
    </w:p>
    <w:p>
      <w:pPr>
        <w:ind w:left="680" w:hanging="250"/>
        <w:spacing w:after="0"/>
        <w:tabs>
          <w:tab w:leader="none" w:pos="6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w:t>
      </w:r>
    </w:p>
    <w:p>
      <w:pPr>
        <w:spacing w:after="0" w:line="220" w:lineRule="exact"/>
        <w:rPr>
          <w:rFonts w:ascii="Times New Roman" w:cs="Times New Roman" w:eastAsia="Times New Roman" w:hAnsi="Times New Roman"/>
          <w:sz w:val="18"/>
          <w:szCs w:val="18"/>
          <w:color w:val="auto"/>
        </w:rPr>
      </w:pPr>
    </w:p>
    <w:p>
      <w:pPr>
        <w:ind w:right="500" w:firstLine="430"/>
        <w:spacing w:after="0" w:line="277" w:lineRule="auto"/>
        <w:tabs>
          <w:tab w:leader="none" w:pos="67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copy of a certificate of James J. Drake, Associate General Counsel and Secretary of the Company, dated the date hereof (the “</w:t>
      </w:r>
      <w:r>
        <w:rPr>
          <w:rFonts w:ascii="Times New Roman" w:cs="Times New Roman" w:eastAsia="Times New Roman" w:hAnsi="Times New Roman"/>
          <w:sz w:val="18"/>
          <w:szCs w:val="18"/>
          <w:u w:val="single" w:color="auto"/>
          <w:color w:val="auto"/>
        </w:rPr>
        <w:t>Secretary’s Certificate</w:t>
      </w:r>
      <w:r>
        <w:rPr>
          <w:rFonts w:ascii="Times New Roman" w:cs="Times New Roman" w:eastAsia="Times New Roman" w:hAnsi="Times New Roman"/>
          <w:sz w:val="18"/>
          <w:szCs w:val="18"/>
          <w:color w:val="auto"/>
        </w:rPr>
        <w:t>”);</w:t>
      </w:r>
    </w:p>
    <w:p>
      <w:pPr>
        <w:sectPr>
          <w:pgSz w:w="11900" w:h="16838" w:orient="portrait"/>
          <w:cols w:equalWidth="0" w:num="1">
            <w:col w:w="10900"/>
          </w:cols>
          <w:pgMar w:left="500" w:top="117"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Midera Food Processing,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35" w:lineRule="exact"/>
        <w:rPr>
          <w:sz w:val="20"/>
          <w:szCs w:val="20"/>
          <w:color w:val="auto"/>
        </w:rPr>
      </w:pPr>
    </w:p>
    <w:p>
      <w:pPr>
        <w:ind w:right="60" w:firstLine="430"/>
        <w:spacing w:after="0" w:line="257" w:lineRule="auto"/>
        <w:tabs>
          <w:tab w:leader="none" w:pos="68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Certificate of Incorporation, certified pursuant to the Secretary’s Certificate as being in effect as of the date hereof (the “</w:t>
      </w:r>
      <w:r>
        <w:rPr>
          <w:rFonts w:ascii="Times New Roman" w:cs="Times New Roman" w:eastAsia="Times New Roman" w:hAnsi="Times New Roman"/>
          <w:sz w:val="18"/>
          <w:szCs w:val="18"/>
          <w:u w:val="single" w:color="auto"/>
          <w:color w:val="auto"/>
        </w:rPr>
        <w:t>Amended and Restated Certificate of Incorporation</w:t>
      </w:r>
      <w:r>
        <w:rPr>
          <w:rFonts w:ascii="Times New Roman" w:cs="Times New Roman" w:eastAsia="Times New Roman" w:hAnsi="Times New Roman"/>
          <w:sz w:val="18"/>
          <w:szCs w:val="18"/>
          <w:color w:val="auto"/>
        </w:rPr>
        <w:t>”), and the Company’s Certificate of Incorporation, as amended by that certain Certificate of Amendment to the Certificate of Incorporation, certified pursuant to the Secretary’s Certificate as being in effect at the time of adoption of the Plan;</w:t>
      </w:r>
    </w:p>
    <w:p>
      <w:pPr>
        <w:spacing w:after="0" w:line="182" w:lineRule="exact"/>
        <w:rPr>
          <w:rFonts w:ascii="Times New Roman" w:cs="Times New Roman" w:eastAsia="Times New Roman" w:hAnsi="Times New Roman"/>
          <w:sz w:val="18"/>
          <w:szCs w:val="18"/>
          <w:color w:val="auto"/>
        </w:rPr>
      </w:pPr>
    </w:p>
    <w:p>
      <w:pPr>
        <w:ind w:firstLine="430"/>
        <w:spacing w:after="0" w:line="262" w:lineRule="auto"/>
        <w:tabs>
          <w:tab w:leader="none" w:pos="67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Amended and Restated Bylaws, certified pursuant to the Secretary’s Certificate as being in effect as of the date hereof (the “</w:t>
      </w:r>
      <w:r>
        <w:rPr>
          <w:rFonts w:ascii="Times New Roman" w:cs="Times New Roman" w:eastAsia="Times New Roman" w:hAnsi="Times New Roman"/>
          <w:sz w:val="18"/>
          <w:szCs w:val="18"/>
          <w:u w:val="single" w:color="auto"/>
          <w:color w:val="auto"/>
        </w:rPr>
        <w:t>Amended and Restated Bylaws</w:t>
      </w:r>
      <w:r>
        <w:rPr>
          <w:rFonts w:ascii="Times New Roman" w:cs="Times New Roman" w:eastAsia="Times New Roman" w:hAnsi="Times New Roman"/>
          <w:sz w:val="18"/>
          <w:szCs w:val="18"/>
          <w:color w:val="auto"/>
        </w:rPr>
        <w:t>”) and the Company’s Bylaws, as amended by that certain Amendment No. 1 to the Bylaws, certified pursuant to the Secretary’s Certificate as being in effect at the time of adoption of the Plan; and</w:t>
      </w:r>
    </w:p>
    <w:p>
      <w:pPr>
        <w:spacing w:after="0" w:line="177" w:lineRule="exact"/>
        <w:rPr>
          <w:rFonts w:ascii="Times New Roman" w:cs="Times New Roman" w:eastAsia="Times New Roman" w:hAnsi="Times New Roman"/>
          <w:sz w:val="18"/>
          <w:szCs w:val="18"/>
          <w:color w:val="auto"/>
        </w:rPr>
      </w:pPr>
    </w:p>
    <w:p>
      <w:pPr>
        <w:ind w:right="580" w:firstLine="430"/>
        <w:spacing w:after="0" w:line="277" w:lineRule="auto"/>
        <w:tabs>
          <w:tab w:leader="none" w:pos="65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certain resolutions of the Board of Directors of the Company relating to the approval of the Plan, the filing of the Registration Statement and certain related matters, and certified pursuant to the Secretary’s Certificate.</w:t>
      </w:r>
    </w:p>
    <w:p>
      <w:pPr>
        <w:spacing w:after="0" w:line="163" w:lineRule="exact"/>
        <w:rPr>
          <w:sz w:val="20"/>
          <w:szCs w:val="20"/>
          <w:color w:val="auto"/>
        </w:rPr>
      </w:pPr>
    </w:p>
    <w:p>
      <w:pPr>
        <w:ind w:right="560" w:firstLine="436"/>
        <w:spacing w:after="0" w:line="262" w:lineRule="auto"/>
        <w:rPr>
          <w:sz w:val="20"/>
          <w:szCs w:val="20"/>
          <w:color w:val="auto"/>
        </w:rPr>
      </w:pPr>
      <w:r>
        <w:rPr>
          <w:rFonts w:ascii="Times New Roman" w:cs="Times New Roman" w:eastAsia="Times New Roman" w:hAnsi="Times New Roman"/>
          <w:sz w:val="18"/>
          <w:szCs w:val="18"/>
          <w:color w:val="auto"/>
        </w:rPr>
        <w:t>We have also examined originals or copies, certified or otherwise identified to our satisfaction, of such records of the Company and such agreements, certificates and receipts of public officials, certificates of officers or other representatives of the Company and others, and such other documents as we have deemed necessary or appropriate as a basis for the opinion stated below.</w:t>
      </w:r>
    </w:p>
    <w:p>
      <w:pPr>
        <w:spacing w:after="0" w:line="177" w:lineRule="exact"/>
        <w:rPr>
          <w:sz w:val="20"/>
          <w:szCs w:val="20"/>
          <w:color w:val="auto"/>
        </w:rPr>
      </w:pPr>
    </w:p>
    <w:p>
      <w:pPr>
        <w:ind w:right="40" w:firstLine="436"/>
        <w:spacing w:after="0" w:line="251"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including electronic signatures, the legal capacity and competency of all natural persons, the authenticity of all documents submitted to us as originals, the conformity to original documents of all documents submitted to us as facsimile, electronic, certified or photocopied copies, and the authenticity of the originals of such copies. In making our examination of executed documents, we have assumed that the parties thereto, other than the Company, had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relevant to the opinion stated herein that we did not independently establish or verify, we have relied upon statements and representations of officers and other representatives of the Company and others and of public officials, including the facts and conclusions set forth in the Amended and Restated Certificate of Incorporation and the Secretary’s Certificate.</w:t>
      </w:r>
    </w:p>
    <w:p>
      <w:pPr>
        <w:spacing w:after="0" w:line="189" w:lineRule="exact"/>
        <w:rPr>
          <w:sz w:val="20"/>
          <w:szCs w:val="20"/>
          <w:color w:val="auto"/>
        </w:rPr>
      </w:pPr>
    </w:p>
    <w:p>
      <w:pPr>
        <w:ind w:right="100" w:firstLine="436"/>
        <w:spacing w:after="0" w:line="253" w:lineRule="auto"/>
        <w:rPr>
          <w:sz w:val="20"/>
          <w:szCs w:val="20"/>
          <w:color w:val="auto"/>
        </w:rPr>
      </w:pPr>
      <w:r>
        <w:rPr>
          <w:rFonts w:ascii="Times New Roman" w:cs="Times New Roman" w:eastAsia="Times New Roman" w:hAnsi="Times New Roman"/>
          <w:sz w:val="18"/>
          <w:szCs w:val="18"/>
          <w:color w:val="auto"/>
        </w:rPr>
        <w:t>In rendering the opinion stated herein, we have also assumed that (i) an appropriate account statement evidencing Shares credited to an eligible individual’s account maintained with the Company’s transfer agent has been or will be issued by the Company’s transfer agent, (ii) the issuance of Shares will be properly recorded in the books and records of the Company, (iii) each award agreement under which stock options, stock appreciation rights, restricted stock, restricted stock units and other stock-based awards or cash-based awards are granted pursuant to the Plan will be consistent with the Plan and will be duly authorized, executed and delivered by the parties thereto, (iv) the issuance of the Shares does not and will not (a) violate any statute to</w:t>
      </w:r>
    </w:p>
    <w:p>
      <w:pPr>
        <w:sectPr>
          <w:pgSz w:w="11900" w:h="16838" w:orient="portrait"/>
          <w:cols w:equalWidth="0" w:num="1">
            <w:col w:w="10900"/>
          </w:cols>
          <w:pgMar w:left="500" w:top="268" w:right="499" w:bottom="1440" w:gutter="0" w:footer="0" w:header="0"/>
        </w:sectPr>
      </w:pPr>
    </w:p>
    <w:bookmarkStart w:id="42" w:name="page43"/>
    <w:bookmarkEnd w:id="42"/>
    <w:p>
      <w:pPr>
        <w:ind w:left="6"/>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Midera Food Processing, Inc.</w:t>
      </w:r>
    </w:p>
    <w:p>
      <w:pPr>
        <w:spacing w:after="0" w:line="26"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July 2, 2026</w:t>
      </w:r>
    </w:p>
    <w:p>
      <w:pPr>
        <w:spacing w:after="0" w:line="7"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Page 3</w:t>
      </w:r>
    </w:p>
    <w:p>
      <w:pPr>
        <w:spacing w:after="0" w:line="135" w:lineRule="exact"/>
        <w:rPr>
          <w:sz w:val="20"/>
          <w:szCs w:val="20"/>
          <w:color w:val="auto"/>
        </w:rPr>
      </w:pPr>
    </w:p>
    <w:p>
      <w:pPr>
        <w:ind w:left="6"/>
        <w:spacing w:after="0" w:line="267" w:lineRule="auto"/>
        <w:rPr>
          <w:sz w:val="20"/>
          <w:szCs w:val="20"/>
          <w:color w:val="auto"/>
        </w:rPr>
      </w:pPr>
      <w:r>
        <w:rPr>
          <w:rFonts w:ascii="Times New Roman" w:cs="Times New Roman" w:eastAsia="Times New Roman" w:hAnsi="Times New Roman"/>
          <w:sz w:val="17"/>
          <w:szCs w:val="17"/>
          <w:color w:val="auto"/>
        </w:rPr>
        <w:t>which the Company or such issuance is subject (except that we do not and will not make this assumption with respect to the General Corporation Law of the State of Delaware (the “</w:t>
      </w:r>
      <w:r>
        <w:rPr>
          <w:rFonts w:ascii="Times New Roman" w:cs="Times New Roman" w:eastAsia="Times New Roman" w:hAnsi="Times New Roman"/>
          <w:sz w:val="17"/>
          <w:szCs w:val="17"/>
          <w:u w:val="single" w:color="auto"/>
          <w:color w:val="auto"/>
        </w:rPr>
        <w:t>DGCL</w:t>
      </w:r>
      <w:r>
        <w:rPr>
          <w:rFonts w:ascii="Times New Roman" w:cs="Times New Roman" w:eastAsia="Times New Roman" w:hAnsi="Times New Roman"/>
          <w:sz w:val="17"/>
          <w:szCs w:val="17"/>
          <w:color w:val="auto"/>
        </w:rPr>
        <w:t>”)), or (b) constitute a violation of, or a breach under, or require the consent or approval of any other person under any agreement or instrument binding on the Company (except that we do not and will not make this assumption with respect to the Amended and Restated Certificate of Incorporation and the Amended and Restated Bylaws, although we have assumed compliance with any covenant, restriction or provision with respect to financial ratios or tests or any aspect of the financial condition or results of operations of the Company contained in such instruments),</w:t>
      </w:r>
    </w:p>
    <w:p>
      <w:pPr>
        <w:ind w:left="6" w:right="160" w:hanging="6"/>
        <w:spacing w:after="0" w:line="251" w:lineRule="auto"/>
        <w:tabs>
          <w:tab w:leader="none" w:pos="25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will continue to have sufficient authorized shares of Common Stock and (vi) the Company’s authorized capital stock is as set forth in the Amended and Restated Certificate of Incorporation, and we have relied solely on the certified copy thereof issued by the Secretary of State of the State of Delaware and have not made any other inquiries or investigations.</w:t>
      </w:r>
    </w:p>
    <w:p>
      <w:pPr>
        <w:spacing w:after="0" w:line="187"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We do not express any opinion with respect to the laws of any jurisdiction other than the DGCL.</w:t>
      </w:r>
    </w:p>
    <w:p>
      <w:pPr>
        <w:spacing w:after="0" w:line="220" w:lineRule="exact"/>
        <w:rPr>
          <w:sz w:val="20"/>
          <w:szCs w:val="20"/>
          <w:color w:val="auto"/>
        </w:rPr>
      </w:pPr>
    </w:p>
    <w:p>
      <w:pPr>
        <w:ind w:left="6" w:right="40" w:firstLine="436"/>
        <w:spacing w:after="0" w:line="257" w:lineRule="auto"/>
        <w:rPr>
          <w:sz w:val="20"/>
          <w:szCs w:val="20"/>
          <w:color w:val="auto"/>
        </w:rPr>
      </w:pPr>
      <w:r>
        <w:rPr>
          <w:rFonts w:ascii="Times New Roman" w:cs="Times New Roman" w:eastAsia="Times New Roman" w:hAnsi="Times New Roman"/>
          <w:sz w:val="18"/>
          <w:szCs w:val="18"/>
          <w:color w:val="auto"/>
        </w:rPr>
        <w:t>Based upon the foregoing and subject to the qualifications and assumptions stated herein, we are of the opinion that the Shares have been duly authorized by all requisite corporate action on the part of the Company under the DGCL and, when the Shares are issued to the participants in the Plan in accordance with the terms and conditions of the Plan and applicable award agreement for consideration in an amount at least equal to the par value of such Shares, the Shares will be validly issued, fully paid and nonassessable.</w:t>
      </w:r>
    </w:p>
    <w:p>
      <w:pPr>
        <w:spacing w:after="0" w:line="182" w:lineRule="exact"/>
        <w:rPr>
          <w:sz w:val="20"/>
          <w:szCs w:val="20"/>
          <w:color w:val="auto"/>
        </w:rPr>
      </w:pPr>
    </w:p>
    <w:p>
      <w:pPr>
        <w:ind w:left="6" w:right="20" w:firstLine="436"/>
        <w:spacing w:after="0" w:line="255" w:lineRule="auto"/>
        <w:rPr>
          <w:sz w:val="20"/>
          <w:szCs w:val="20"/>
          <w:color w:val="auto"/>
        </w:rPr>
      </w:pPr>
      <w:r>
        <w:rPr>
          <w:rFonts w:ascii="Times New Roman" w:cs="Times New Roman" w:eastAsia="Times New Roman" w:hAnsi="Times New Roman"/>
          <w:sz w:val="18"/>
          <w:szCs w:val="18"/>
          <w:color w:val="auto"/>
        </w:rPr>
        <w:t>We hereby consent to the filing of this opinion letter with the Commission as an exhibit to the Registration Statement. In giving this consent, we do not thereby admit that we are within the category of persons whose consent is required under Section 7 of the Securities Act or the General Rules and Regulations of the Commission promulgated under the Securities Act. This opinion letter is expressed as of the date hereof unless otherwise expressly stated, and we disclaim any undertaking to advise you of any subsequent changes in the facts stated or assumed herein or of any subsequent changes in applicable laws.</w:t>
      </w:r>
    </w:p>
    <w:p>
      <w:pPr>
        <w:spacing w:after="0" w:line="210"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6546"/>
        <w:spacing w:after="0"/>
        <w:rPr>
          <w:sz w:val="20"/>
          <w:szCs w:val="20"/>
          <w:color w:val="auto"/>
        </w:rPr>
      </w:pPr>
      <w:r>
        <w:rPr>
          <w:rFonts w:ascii="Times New Roman" w:cs="Times New Roman" w:eastAsia="Times New Roman" w:hAnsi="Times New Roman"/>
          <w:sz w:val="18"/>
          <w:szCs w:val="18"/>
          <w:color w:val="auto"/>
        </w:rPr>
        <w:t>/s/ Skadden, Arps, Slate, Meagher &amp; Flom LLP</w:t>
      </w:r>
    </w:p>
    <w:p>
      <w:pPr>
        <w:spacing w:after="0" w:line="220" w:lineRule="exact"/>
        <w:rPr>
          <w:sz w:val="20"/>
          <w:szCs w:val="20"/>
          <w:color w:val="auto"/>
        </w:rPr>
      </w:pPr>
    </w:p>
    <w:p>
      <w:pPr>
        <w:ind w:left="6"/>
        <w:spacing w:after="0"/>
        <w:rPr>
          <w:sz w:val="20"/>
          <w:szCs w:val="20"/>
          <w:color w:val="auto"/>
        </w:rPr>
      </w:pPr>
      <w:r>
        <w:rPr>
          <w:rFonts w:ascii="Times New Roman" w:cs="Times New Roman" w:eastAsia="Times New Roman" w:hAnsi="Times New Roman"/>
          <w:sz w:val="18"/>
          <w:szCs w:val="18"/>
          <w:color w:val="auto"/>
        </w:rPr>
        <w:t>PMG</w:t>
      </w:r>
    </w:p>
    <w:p>
      <w:pPr>
        <w:sectPr>
          <w:pgSz w:w="11900" w:h="16838" w:orient="portrait"/>
          <w:cols w:equalWidth="0" w:num="1">
            <w:col w:w="10886"/>
          </w:cols>
          <w:pgMar w:left="494" w:top="268" w:right="51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18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Midera Food Processing, Inc. (previously referred to as The Middleby Corporation’s Food Processing Equipment Group) 2026 Long-Term Incentive Plan of our report dated March 18, 2026, with respect to the combined financial statements of The Middleby Corporation’s Food Processing Equipment Group included in Amendment No. 1 to the Company’s Registration Statement on Form 10 (No. 001-43265),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Chicago, Illinois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July 2, 2026</w:t>
      </w:r>
    </w:p>
    <w:p>
      <w:pPr>
        <w:sectPr>
          <w:pgSz w:w="11900" w:h="16838" w:orient="portrait"/>
          <w:cols w:equalWidth="0" w:num="1">
            <w:col w:w="10900"/>
          </w:cols>
          <w:pgMar w:left="500" w:top="117" w:right="499" w:bottom="1440" w:gutter="0" w:footer="0" w:header="0"/>
        </w:sectPr>
      </w:pPr>
    </w:p>
    <w:bookmarkStart w:id="44" w:name="page45"/>
    <w:bookmarkEnd w:id="44"/>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Midera Food Processing, Inc.</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3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8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4"/>
                <w:szCs w:val="24"/>
                <w:color w:val="auto"/>
              </w:rPr>
            </w:pPr>
          </w:p>
        </w:tc>
        <w:tc>
          <w:tcPr>
            <w:tcW w:w="112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Class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40" w:type="dxa"/>
            <w:vAlign w:val="bottom"/>
          </w:tcPr>
          <w:p>
            <w:pPr>
              <w:spacing w:after="0"/>
              <w:rPr>
                <w:sz w:val="20"/>
                <w:szCs w:val="20"/>
                <w:color w:val="auto"/>
              </w:rPr>
            </w:pPr>
          </w:p>
        </w:tc>
        <w:tc>
          <w:tcPr>
            <w:tcW w:w="112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w w:val="99"/>
              </w:rPr>
              <w:t>Registered</w:t>
            </w:r>
          </w:p>
        </w:tc>
        <w:tc>
          <w:tcPr>
            <w:tcW w:w="40" w:type="dxa"/>
            <w:vAlign w:val="bottom"/>
          </w:tcPr>
          <w:p>
            <w:pPr>
              <w:spacing w:after="0"/>
              <w:rPr>
                <w:sz w:val="20"/>
                <w:szCs w:val="20"/>
                <w:color w:val="auto"/>
              </w:rPr>
            </w:pPr>
          </w:p>
        </w:tc>
        <w:tc>
          <w:tcPr>
            <w:tcW w:w="13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10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4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4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20" w:type="dxa"/>
            <w:vAlign w:val="bottom"/>
          </w:tcPr>
          <w:p>
            <w:pPr>
              <w:spacing w:after="0"/>
              <w:rPr>
                <w:sz w:val="12"/>
                <w:szCs w:val="12"/>
                <w:color w:val="auto"/>
              </w:rPr>
            </w:pPr>
          </w:p>
        </w:tc>
        <w:tc>
          <w:tcPr>
            <w:tcW w:w="10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jc w:val="center"/>
              <w:spacing w:after="0" w:line="227"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8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3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0"/>
        </w:trPr>
        <w:tc>
          <w:tcPr>
            <w:tcW w:w="40" w:type="dxa"/>
            <w:vAlign w:val="bottom"/>
            <w:tcBorders>
              <w:left w:val="single" w:sz="8" w:color="auto"/>
            </w:tcBorders>
          </w:tcPr>
          <w:p>
            <w:pPr>
              <w:spacing w:after="0"/>
              <w:rPr>
                <w:sz w:val="10"/>
                <w:szCs w:val="1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10"/>
                <w:szCs w:val="10"/>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10"/>
                <w:szCs w:val="10"/>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9"/>
              </w:rPr>
              <w:t>par value</w:t>
            </w:r>
          </w:p>
        </w:tc>
        <w:tc>
          <w:tcPr>
            <w:tcW w:w="20" w:type="dxa"/>
            <w:vAlign w:val="bottom"/>
          </w:tcPr>
          <w:p>
            <w:pPr>
              <w:spacing w:after="0"/>
              <w:rPr>
                <w:sz w:val="10"/>
                <w:szCs w:val="1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457(a)</w:t>
            </w:r>
          </w:p>
        </w:tc>
        <w:tc>
          <w:tcPr>
            <w:tcW w:w="40" w:type="dxa"/>
            <w:vAlign w:val="bottom"/>
          </w:tcPr>
          <w:p>
            <w:pPr>
              <w:spacing w:after="0"/>
              <w:rPr>
                <w:sz w:val="10"/>
                <w:szCs w:val="10"/>
                <w:color w:val="auto"/>
              </w:rPr>
            </w:pPr>
          </w:p>
        </w:tc>
        <w:tc>
          <w:tcPr>
            <w:tcW w:w="112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3,000,000</w:t>
            </w:r>
          </w:p>
        </w:tc>
        <w:tc>
          <w:tcPr>
            <w:tcW w:w="40" w:type="dxa"/>
            <w:vAlign w:val="bottom"/>
          </w:tcPr>
          <w:p>
            <w:pPr>
              <w:spacing w:after="0"/>
              <w:rPr>
                <w:sz w:val="10"/>
                <w:szCs w:val="10"/>
                <w:color w:val="auto"/>
              </w:rPr>
            </w:pPr>
          </w:p>
        </w:tc>
        <w:tc>
          <w:tcPr>
            <w:tcW w:w="13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$ 35.00</w:t>
            </w:r>
          </w:p>
        </w:tc>
        <w:tc>
          <w:tcPr>
            <w:tcW w:w="20" w:type="dxa"/>
            <w:vAlign w:val="bottom"/>
          </w:tcPr>
          <w:p>
            <w:pPr>
              <w:spacing w:after="0"/>
              <w:rPr>
                <w:sz w:val="10"/>
                <w:szCs w:val="10"/>
                <w:color w:val="auto"/>
              </w:rPr>
            </w:pPr>
          </w:p>
        </w:tc>
        <w:tc>
          <w:tcPr>
            <w:tcW w:w="1560" w:type="dxa"/>
            <w:vAlign w:val="bottom"/>
            <w:vMerge w:val="continue"/>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10"/>
                <w:szCs w:val="10"/>
                <w:color w:val="auto"/>
              </w:rPr>
            </w:pPr>
          </w:p>
        </w:tc>
        <w:tc>
          <w:tcPr>
            <w:tcW w:w="14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$ 14,500.50</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40" w:type="dxa"/>
            <w:vAlign w:val="bottom"/>
            <w:tcBorders>
              <w:left w:val="single" w:sz="8" w:color="auto"/>
            </w:tcBorders>
          </w:tcPr>
          <w:p>
            <w:pPr>
              <w:spacing w:after="0"/>
              <w:rPr>
                <w:sz w:val="18"/>
                <w:szCs w:val="18"/>
                <w:color w:val="auto"/>
              </w:rPr>
            </w:pPr>
          </w:p>
        </w:tc>
        <w:tc>
          <w:tcPr>
            <w:tcW w:w="1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18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vMerge w:val="continue"/>
            <w:shd w:val="clear" w:color="auto" w:fill="E7E7E2"/>
          </w:tcPr>
          <w:p>
            <w:pPr>
              <w:spacing w:after="0"/>
              <w:rPr>
                <w:sz w:val="18"/>
                <w:szCs w:val="18"/>
                <w:color w:val="auto"/>
              </w:rPr>
            </w:pPr>
          </w:p>
        </w:tc>
        <w:tc>
          <w:tcPr>
            <w:tcW w:w="40" w:type="dxa"/>
            <w:vAlign w:val="bottom"/>
          </w:tcPr>
          <w:p>
            <w:pPr>
              <w:spacing w:after="0"/>
              <w:rPr>
                <w:sz w:val="18"/>
                <w:szCs w:val="18"/>
                <w:color w:val="auto"/>
              </w:rPr>
            </w:pPr>
          </w:p>
        </w:tc>
        <w:tc>
          <w:tcPr>
            <w:tcW w:w="134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560" w:type="dxa"/>
            <w:vAlign w:val="bottom"/>
            <w:shd w:val="clear" w:color="auto" w:fill="E7E7E2"/>
          </w:tcPr>
          <w:p>
            <w:pPr>
              <w:jc w:val="right"/>
              <w:spacing w:after="0" w:line="214" w:lineRule="exact"/>
              <w:rPr>
                <w:sz w:val="20"/>
                <w:szCs w:val="20"/>
                <w:color w:val="auto"/>
              </w:rPr>
            </w:pPr>
            <w:r>
              <w:rPr>
                <w:rFonts w:ascii="Arial" w:cs="Arial" w:eastAsia="Arial" w:hAnsi="Arial"/>
                <w:sz w:val="21"/>
                <w:szCs w:val="21"/>
                <w:color w:val="auto"/>
              </w:rPr>
              <w:t>105,000,000.00</w:t>
            </w:r>
          </w:p>
        </w:tc>
        <w:tc>
          <w:tcPr>
            <w:tcW w:w="20" w:type="dxa"/>
            <w:vAlign w:val="bottom"/>
          </w:tcPr>
          <w:p>
            <w:pPr>
              <w:spacing w:after="0"/>
              <w:rPr>
                <w:sz w:val="18"/>
                <w:szCs w:val="18"/>
                <w:color w:val="auto"/>
              </w:rPr>
            </w:pPr>
          </w:p>
        </w:tc>
        <w:tc>
          <w:tcPr>
            <w:tcW w:w="1060" w:type="dxa"/>
            <w:vAlign w:val="bottom"/>
            <w:vMerge w:val="continue"/>
            <w:shd w:val="clear" w:color="auto" w:fill="E7E7E2"/>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vMerge w:val="continue"/>
            <w:shd w:val="clear" w:color="auto" w:fill="E7E7E2"/>
          </w:tcPr>
          <w:p>
            <w:pPr>
              <w:spacing w:after="0"/>
              <w:rPr>
                <w:sz w:val="18"/>
                <w:szCs w:val="18"/>
                <w:color w:val="auto"/>
              </w:rPr>
            </w:pP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E7E7E2"/>
          </w:tcPr>
          <w:p>
            <w:pPr>
              <w:jc w:val="center"/>
              <w:spacing w:after="0" w:line="147" w:lineRule="exact"/>
              <w:rPr>
                <w:sz w:val="20"/>
                <w:szCs w:val="20"/>
                <w:color w:val="auto"/>
              </w:rPr>
            </w:pPr>
            <w:r>
              <w:rPr>
                <w:rFonts w:ascii="Arial" w:cs="Arial" w:eastAsia="Arial" w:hAnsi="Arial"/>
                <w:sz w:val="17"/>
                <w:szCs w:val="17"/>
                <w:color w:val="auto"/>
              </w:rPr>
              <w:t>$0.01 per</w:t>
            </w:r>
          </w:p>
        </w:tc>
        <w:tc>
          <w:tcPr>
            <w:tcW w:w="20" w:type="dxa"/>
            <w:vAlign w:val="bottom"/>
          </w:tcPr>
          <w:p>
            <w:pPr>
              <w:spacing w:after="0"/>
              <w:rPr>
                <w:sz w:val="12"/>
                <w:szCs w:val="12"/>
                <w:color w:val="auto"/>
              </w:rPr>
            </w:pPr>
          </w:p>
        </w:tc>
        <w:tc>
          <w:tcPr>
            <w:tcW w:w="118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3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8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ind w:left="20"/>
              <w:spacing w:after="0"/>
              <w:rPr>
                <w:sz w:val="20"/>
                <w:szCs w:val="20"/>
                <w:color w:val="auto"/>
              </w:rPr>
            </w:pPr>
            <w:r>
              <w:rPr>
                <w:rFonts w:ascii="Arial" w:cs="Arial" w:eastAsia="Arial" w:hAnsi="Arial"/>
                <w:sz w:val="21"/>
                <w:szCs w:val="21"/>
                <w:color w:val="auto"/>
              </w:rPr>
              <w:t>share</w:t>
            </w:r>
          </w:p>
        </w:tc>
        <w:tc>
          <w:tcPr>
            <w:tcW w:w="2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$ 14,500.50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gridSpan w:val="2"/>
          </w:tcPr>
          <w:p>
            <w:pPr>
              <w:jc w:val="right"/>
              <w:spacing w:after="0"/>
              <w:rPr>
                <w:sz w:val="20"/>
                <w:szCs w:val="20"/>
                <w:color w:val="auto"/>
              </w:rPr>
            </w:pPr>
            <w:r>
              <w:rPr>
                <w:rFonts w:ascii="Arial" w:cs="Arial" w:eastAsia="Arial" w:hAnsi="Arial"/>
                <w:sz w:val="21"/>
                <w:szCs w:val="21"/>
                <w:color w:val="auto"/>
              </w:rPr>
              <w:t>105,000,000.00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00" w:type="dxa"/>
            <w:vAlign w:val="bottom"/>
            <w:gridSpan w:val="2"/>
          </w:tcPr>
          <w:p>
            <w:pPr>
              <w:jc w:val="right"/>
              <w:spacing w:after="0"/>
              <w:rPr>
                <w:sz w:val="20"/>
                <w:szCs w:val="20"/>
                <w:color w:val="auto"/>
              </w:rPr>
            </w:pPr>
            <w:r>
              <w:rPr>
                <w:rFonts w:ascii="Arial" w:cs="Arial" w:eastAsia="Arial" w:hAnsi="Arial"/>
                <w:sz w:val="21"/>
                <w:szCs w:val="21"/>
                <w:color w:val="auto"/>
              </w:rPr>
              <w:t>$ 14,500.50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760" w:hanging="225"/>
        <w:spacing w:after="0" w:line="236" w:lineRule="auto"/>
        <w:tabs>
          <w:tab w:leader="none" w:pos="800" w:val="left"/>
        </w:tabs>
        <w:numPr>
          <w:ilvl w:val="0"/>
          <w:numId w:val="52"/>
        </w:numPr>
        <w:rPr>
          <w:rFonts w:ascii="Arial" w:cs="Arial" w:eastAsia="Arial" w:hAnsi="Arial"/>
          <w:sz w:val="27"/>
          <w:szCs w:val="27"/>
          <w:color w:val="auto"/>
          <w:vertAlign w:val="superscript"/>
        </w:rPr>
      </w:pPr>
      <w:r>
        <w:rPr>
          <w:rFonts w:ascii="Arial" w:cs="Arial" w:eastAsia="Arial" w:hAnsi="Arial"/>
          <w:sz w:val="21"/>
          <w:szCs w:val="21"/>
          <w:color w:val="auto"/>
        </w:rPr>
        <w:t>(1) Consists of 3,000,000 shares of Common Stock, par value $0.01 per share ("Common Stock"), of Midera Food Processing, Inc. reserved for issuance pursuant to The Midera Food Processing, Inc. 2026 Long-Term Incentive Plan (the "2026 LTIP"). Pursuant to Rule 416(a) under the Securities Act of 1933, as amended (the "Securities Act"), the registration statement shall be deemed to cover any additional shares of Common Stock to be offered or issued under the 2026 LTIP pursuant to terms that provide for a change in the amount of securities being offered or issued to prevent dilution resulting from stock splits, stock dividends, or similar transactions. (2) Estimated solely for purposes of calculating the registration fee in accordance with Rule 457(c) and Rule 457(h) under the Securities Act. (3) Average of the high and low prices reported for a share of Common Stock on The Nasdaq Stock Market on June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81915</wp:posOffset>
            </wp:positionV>
            <wp:extent cx="638746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8"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1)"/>
      <w:numFmt w:val="lowerLetter"/>
      <w:start w:val="1"/>
    </w:lvl>
  </w:abstractNum>
  <w:abstractNum w:abstractNumId="2">
    <w:nsid w:val="71F32454"/>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
    <w:nsid w:val="2CA88611"/>
    <w:multiLevelType w:val="hybridMultilevel"/>
    <w:lvl w:ilvl="0">
      <w:lvlJc w:val="left"/>
      <w:lvlText w:val="%1"/>
      <w:numFmt w:val="lowerLetter"/>
      <w:start w:val="1"/>
    </w:lvl>
    <w:lvl w:ilvl="1">
      <w:lvlJc w:val="left"/>
      <w:lvlText w:val="(%2)"/>
      <w:numFmt w:val="decimal"/>
      <w:start w:val="2"/>
    </w:lvl>
  </w:abstractNum>
  <w:abstractNum w:abstractNumId="4">
    <w:nsid w:val="836C40E"/>
    <w:multiLevelType w:val="hybridMultilevel"/>
    <w:lvl w:ilvl="0">
      <w:lvlJc w:val="left"/>
      <w:lvlText w:val="(%1)"/>
      <w:numFmt w:val="lowerLetter"/>
      <w:start w:val="2"/>
    </w:lvl>
    <w:lvl w:ilvl="1">
      <w:lvlJc w:val="left"/>
      <w:lvlText w:val="%2"/>
      <w:numFmt w:val="decimal"/>
      <w:start w:val="1"/>
    </w:lvl>
  </w:abstractNum>
  <w:abstractNum w:abstractNumId="5">
    <w:nsid w:val="2901D82"/>
    <w:multiLevelType w:val="hybridMultilevel"/>
    <w:lvl w:ilvl="0">
      <w:lvlJc w:val="left"/>
      <w:lvlText w:val="(%1)"/>
      <w:numFmt w:val="lowerLetter"/>
      <w:start w:val="3"/>
    </w:lvl>
  </w:abstractNum>
  <w:abstractNum w:abstractNumId="6">
    <w:nsid w:val="3A95F874"/>
    <w:multiLevelType w:val="hybridMultilevel"/>
    <w:lvl w:ilvl="0">
      <w:lvlJc w:val="left"/>
      <w:lvlText w:val="%1."/>
      <w:numFmt w:val="upperLetter"/>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5"/>
    </w:lvl>
  </w:abstractNum>
  <w:abstractNum w:abstractNumId="9">
    <w:nsid w:val="7C3DBD3D"/>
    <w:multiLevelType w:val="hybridMultilevel"/>
    <w:lvl w:ilvl="0">
      <w:lvlJc w:val="left"/>
      <w:lvlText w:val="%1."/>
      <w:numFmt w:val="decimal"/>
      <w:start w:val="6"/>
    </w:lvl>
  </w:abstractNum>
  <w:abstractNum w:abstractNumId="10">
    <w:nsid w:val="737B8DDC"/>
    <w:multiLevelType w:val="hybridMultilevel"/>
    <w:lvl w:ilvl="0">
      <w:lvlJc w:val="left"/>
      <w:lvlText w:val="%1."/>
      <w:numFmt w:val="decimal"/>
      <w:start w:val="10"/>
    </w:lvl>
  </w:abstractNum>
  <w:abstractNum w:abstractNumId="11">
    <w:nsid w:val="6CEAF087"/>
    <w:multiLevelType w:val="hybridMultilevel"/>
    <w:lvl w:ilvl="0">
      <w:lvlJc w:val="left"/>
      <w:lvlText w:val="(%1)"/>
      <w:numFmt w:val="lowerLetter"/>
      <w:start w:val="1"/>
    </w:lvl>
  </w:abstractNum>
  <w:abstractNum w:abstractNumId="12">
    <w:nsid w:val="22221A70"/>
    <w:multiLevelType w:val="hybridMultilevel"/>
    <w:lvl w:ilvl="0">
      <w:lvlJc w:val="left"/>
      <w:lvlText w:val="(%1)"/>
      <w:numFmt w:val="lowerLetter"/>
      <w:start w:val="1"/>
    </w:lvl>
  </w:abstractNum>
  <w:abstractNum w:abstractNumId="13">
    <w:nsid w:val="4516DDE9"/>
    <w:multiLevelType w:val="hybridMultilevel"/>
    <w:lvl w:ilvl="0">
      <w:lvlJc w:val="left"/>
      <w:lvlText w:val="(%1)"/>
      <w:numFmt w:val="lowerLetter"/>
      <w:start w:val="1"/>
    </w:lvl>
  </w:abstractNum>
  <w:abstractNum w:abstractNumId="14">
    <w:nsid w:val="3006C83E"/>
    <w:multiLevelType w:val="hybridMultilevel"/>
    <w:lvl w:ilvl="0">
      <w:lvlJc w:val="left"/>
      <w:lvlText w:val="(%1)"/>
      <w:numFmt w:val="lowerLetter"/>
      <w:start w:val="5"/>
    </w:lvl>
  </w:abstractNum>
  <w:abstractNum w:abstractNumId="15">
    <w:nsid w:val="614FD4A1"/>
    <w:multiLevelType w:val="hybridMultilevel"/>
    <w:lvl w:ilvl="0">
      <w:lvlJc w:val="left"/>
      <w:lvlText w:val="%1"/>
      <w:numFmt w:val="lowerLetter"/>
      <w:start w:val="1"/>
    </w:lvl>
    <w:lvl w:ilvl="1">
      <w:lvlJc w:val="left"/>
      <w:lvlText w:val="(%2)"/>
      <w:numFmt w:val="lowerLetter"/>
      <w:start w:val="1"/>
    </w:lvl>
  </w:abstractNum>
  <w:abstractNum w:abstractNumId="16">
    <w:nsid w:val="419AC241"/>
    <w:multiLevelType w:val="hybridMultilevel"/>
    <w:lvl w:ilvl="0">
      <w:lvlJc w:val="left"/>
      <w:lvlText w:val="(%1)"/>
      <w:numFmt w:val="lowerLetter"/>
      <w:start w:val="1"/>
    </w:lvl>
    <w:lvl w:ilvl="1">
      <w:lvlJc w:val="left"/>
      <w:lvlText w:val="(%2)"/>
      <w:numFmt w:val="lowerLetter"/>
      <w:start w:val="2"/>
    </w:lvl>
  </w:abstractNum>
  <w:abstractNum w:abstractNumId="17">
    <w:nsid w:val="5577F8E1"/>
    <w:multiLevelType w:val="hybridMultilevel"/>
    <w:lvl w:ilvl="0">
      <w:lvlJc w:val="left"/>
      <w:lvlText w:val="(%1)"/>
      <w:numFmt w:val="lowerLetter"/>
      <w:start w:val="4"/>
    </w:lvl>
  </w:abstractNum>
  <w:abstractNum w:abstractNumId="18">
    <w:nsid w:val="440BADFC"/>
    <w:multiLevelType w:val="hybridMultilevel"/>
    <w:lvl w:ilvl="0">
      <w:lvlJc w:val="left"/>
      <w:lvlText w:val="%1"/>
      <w:numFmt w:val="decimal"/>
      <w:start w:val="1"/>
    </w:lvl>
    <w:lvl w:ilvl="1">
      <w:lvlJc w:val="left"/>
      <w:lvlText w:val="(%2)"/>
      <w:numFmt w:val="lowerLetter"/>
      <w:start w:val="1"/>
    </w:lvl>
  </w:abstractNum>
  <w:abstractNum w:abstractNumId="19">
    <w:nsid w:val="5072367"/>
    <w:multiLevelType w:val="hybridMultilevel"/>
    <w:lvl w:ilvl="0">
      <w:lvlJc w:val="left"/>
      <w:lvlText w:val="(%1)"/>
      <w:numFmt w:val="decimal"/>
      <w:start w:val="3"/>
    </w:lvl>
    <w:lvl w:ilvl="1">
      <w:lvlJc w:val="left"/>
      <w:lvlText w:val="(%2)"/>
      <w:numFmt w:val="lowerLetter"/>
      <w:start w:val="2"/>
    </w:lvl>
  </w:abstractNum>
  <w:abstractNum w:abstractNumId="20">
    <w:nsid w:val="3804823E"/>
    <w:multiLevelType w:val="hybridMultilevel"/>
    <w:lvl w:ilvl="0">
      <w:lvlJc w:val="left"/>
      <w:lvlText w:val="(%1)"/>
      <w:numFmt w:val="lowerLetter"/>
      <w:start w:val="1"/>
    </w:lvl>
  </w:abstractNum>
  <w:abstractNum w:abstractNumId="21">
    <w:nsid w:val="77465F01"/>
    <w:multiLevelType w:val="hybridMultilevel"/>
    <w:lvl w:ilvl="0">
      <w:lvlJc w:val="left"/>
      <w:lvlText w:val="(%1)"/>
      <w:numFmt w:val="lowerLetter"/>
      <w:start w:val="1"/>
    </w:lvl>
  </w:abstractNum>
  <w:abstractNum w:abstractNumId="22">
    <w:nsid w:val="7724C67E"/>
    <w:multiLevelType w:val="hybridMultilevel"/>
    <w:lvl w:ilvl="0">
      <w:lvlJc w:val="left"/>
      <w:lvlText w:val="(%1)"/>
      <w:numFmt w:val="decimal"/>
      <w:start w:val="1"/>
    </w:lvl>
  </w:abstractNum>
  <w:abstractNum w:abstractNumId="23">
    <w:nsid w:val="5C482A97"/>
    <w:multiLevelType w:val="hybridMultilevel"/>
    <w:lvl w:ilvl="0">
      <w:lvlJc w:val="left"/>
      <w:lvlText w:val="(%1)"/>
      <w:numFmt w:val="decimal"/>
      <w:start w:val="3"/>
    </w:lvl>
  </w:abstractNum>
  <w:abstractNum w:abstractNumId="24">
    <w:nsid w:val="2463B9EA"/>
    <w:multiLevelType w:val="hybridMultilevel"/>
    <w:lvl w:ilvl="0">
      <w:lvlJc w:val="left"/>
      <w:lvlText w:val="(%1)"/>
      <w:numFmt w:val="decimal"/>
      <w:start w:val="8"/>
    </w:lvl>
  </w:abstractNum>
  <w:abstractNum w:abstractNumId="25">
    <w:nsid w:val="5E884ADC"/>
    <w:multiLevelType w:val="hybridMultilevel"/>
    <w:lvl w:ilvl="0">
      <w:lvlJc w:val="left"/>
      <w:lvlText w:val="(%1)"/>
      <w:numFmt w:val="lowerLetter"/>
      <w:start w:val="1"/>
    </w:lvl>
  </w:abstractNum>
  <w:abstractNum w:abstractNumId="26">
    <w:nsid w:val="51EAD36B"/>
    <w:multiLevelType w:val="hybridMultilevel"/>
    <w:lvl w:ilvl="0">
      <w:lvlJc w:val="left"/>
      <w:lvlText w:val="(%1)"/>
      <w:numFmt w:val="lowerLetter"/>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lowerLetter"/>
      <w:start w:val="2"/>
    </w:lvl>
  </w:abstractNum>
  <w:abstractNum w:abstractNumId="29">
    <w:nsid w:val="153EA438"/>
    <w:multiLevelType w:val="hybridMultilevel"/>
    <w:lvl w:ilvl="0">
      <w:lvlJc w:val="left"/>
      <w:lvlText w:val="(%1)"/>
      <w:numFmt w:val="lowerLetter"/>
      <w:start w:val="1"/>
    </w:lvl>
  </w:abstractNum>
  <w:abstractNum w:abstractNumId="30">
    <w:nsid w:val="3855585C"/>
    <w:multiLevelType w:val="hybridMultilevel"/>
    <w:lvl w:ilvl="0">
      <w:lvlJc w:val="left"/>
      <w:lvlText w:val="(%1)"/>
      <w:numFmt w:val="lowerLetter"/>
      <w:start w:val="1"/>
    </w:lvl>
  </w:abstractNum>
  <w:abstractNum w:abstractNumId="31">
    <w:nsid w:val="70A64E2A"/>
    <w:multiLevelType w:val="hybridMultilevel"/>
    <w:lvl w:ilvl="0">
      <w:lvlJc w:val="left"/>
      <w:lvlText w:val="(%1)"/>
      <w:numFmt w:val="lowerLetter"/>
      <w:start w:val="4"/>
    </w:lvl>
  </w:abstractNum>
  <w:abstractNum w:abstractNumId="32">
    <w:nsid w:val="6A2342EC"/>
    <w:multiLevelType w:val="hybridMultilevel"/>
    <w:lvl w:ilvl="0">
      <w:lvlJc w:val="left"/>
      <w:lvlText w:val="(%1)"/>
      <w:numFmt w:val="lowerLetter"/>
      <w:start w:val="1"/>
    </w:lvl>
    <w:lvl w:ilvl="1">
      <w:lvlJc w:val="left"/>
      <w:lvlText w:val="(%2)"/>
      <w:numFmt w:val="lowerRoman"/>
      <w:start w:val="1"/>
    </w:lvl>
  </w:abstractNum>
  <w:abstractNum w:abstractNumId="33">
    <w:nsid w:val="2A487CB0"/>
    <w:multiLevelType w:val="hybridMultilevel"/>
    <w:lvl w:ilvl="0">
      <w:lvlJc w:val="left"/>
      <w:lvlText w:val="%1"/>
      <w:numFmt w:val="lowerLetter"/>
      <w:start w:val="1"/>
    </w:lvl>
    <w:lvl w:ilvl="1">
      <w:lvlJc w:val="left"/>
      <w:lvlText w:val="(%2)"/>
      <w:numFmt w:val="lowerRoman"/>
      <w:start w:val="3"/>
    </w:lvl>
  </w:abstractNum>
  <w:abstractNum w:abstractNumId="34">
    <w:nsid w:val="1D4ED43B"/>
    <w:multiLevelType w:val="hybridMultilevel"/>
    <w:lvl w:ilvl="0">
      <w:lvlJc w:val="left"/>
      <w:lvlText w:val="(%1)"/>
      <w:numFmt w:val="lowerLetter"/>
      <w:start w:val="4"/>
    </w:lvl>
    <w:lvl w:ilvl="1">
      <w:lvlJc w:val="left"/>
      <w:lvlText w:val="%2"/>
      <w:numFmt w:val="lowerRoman"/>
      <w:start w:val="1"/>
    </w:lvl>
  </w:abstractNum>
  <w:abstractNum w:abstractNumId="35">
    <w:nsid w:val="725A06FB"/>
    <w:multiLevelType w:val="hybridMultilevel"/>
    <w:lvl w:ilvl="0">
      <w:lvlJc w:val="left"/>
      <w:lvlText w:val="(%1)"/>
      <w:numFmt w:val="lowerLetter"/>
      <w:start w:val="1"/>
    </w:lvl>
  </w:abstractNum>
  <w:abstractNum w:abstractNumId="36">
    <w:nsid w:val="2CD89A32"/>
    <w:multiLevelType w:val="hybridMultilevel"/>
    <w:lvl w:ilvl="0">
      <w:lvlJc w:val="left"/>
      <w:lvlText w:val="(%1)"/>
      <w:numFmt w:val="lowerLetter"/>
      <w:start w:val="5"/>
    </w:lvl>
  </w:abstractNum>
  <w:abstractNum w:abstractNumId="37">
    <w:nsid w:val="57E4CCAF"/>
    <w:multiLevelType w:val="hybridMultilevel"/>
    <w:lvl w:ilvl="0">
      <w:lvlJc w:val="left"/>
      <w:lvlText w:val="(%1)"/>
      <w:numFmt w:val="lowerLetter"/>
      <w:start w:val="1"/>
    </w:lvl>
  </w:abstractNum>
  <w:abstractNum w:abstractNumId="38">
    <w:nsid w:val="7A6D8D3C"/>
    <w:multiLevelType w:val="hybridMultilevel"/>
    <w:lvl w:ilvl="0">
      <w:lvlJc w:val="left"/>
      <w:lvlText w:val="(%1)"/>
      <w:numFmt w:val="lowerLetter"/>
      <w:start w:val="2"/>
    </w:lvl>
  </w:abstractNum>
  <w:abstractNum w:abstractNumId="39">
    <w:nsid w:val="4B588F54"/>
    <w:multiLevelType w:val="hybridMultilevel"/>
    <w:lvl w:ilvl="0">
      <w:lvlJc w:val="left"/>
      <w:lvlText w:val="(%1)"/>
      <w:numFmt w:val="lowerLetter"/>
      <w:start w:val="1"/>
    </w:lvl>
    <w:lvl w:ilvl="1">
      <w:lvlJc w:val="left"/>
      <w:lvlText w:val="(%2)"/>
      <w:numFmt w:val="lowerRoman"/>
      <w:start w:val="1"/>
    </w:lvl>
  </w:abstractNum>
  <w:abstractNum w:abstractNumId="40">
    <w:nsid w:val="542289EC"/>
    <w:multiLevelType w:val="hybridMultilevel"/>
    <w:lvl w:ilvl="0">
      <w:lvlJc w:val="left"/>
      <w:lvlText w:val="(%1)"/>
      <w:numFmt w:val="lowerLetter"/>
      <w:start w:val="1"/>
    </w:lvl>
  </w:abstractNum>
  <w:abstractNum w:abstractNumId="41">
    <w:nsid w:val="6DE91B18"/>
    <w:multiLevelType w:val="hybridMultilevel"/>
    <w:lvl w:ilvl="0">
      <w:lvlJc w:val="left"/>
      <w:lvlText w:val="(%1)"/>
      <w:numFmt w:val="lowerLetter"/>
      <w:start w:val="3"/>
    </w:lvl>
  </w:abstractNum>
  <w:abstractNum w:abstractNumId="42">
    <w:nsid w:val="38437FDB"/>
    <w:multiLevelType w:val="hybridMultilevel"/>
    <w:lvl w:ilvl="0">
      <w:lvlJc w:val="left"/>
      <w:lvlText w:val="(%1)"/>
      <w:numFmt w:val="lowerLetter"/>
      <w:start w:val="6"/>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1)"/>
      <w:numFmt w:val="lowerLetter"/>
      <w:start w:val="1"/>
    </w:lvl>
  </w:abstractNum>
  <w:abstractNum w:abstractNumId="45">
    <w:nsid w:val="684A481A"/>
    <w:multiLevelType w:val="hybridMultilevel"/>
    <w:lvl w:ilvl="0">
      <w:lvlJc w:val="left"/>
      <w:lvlText w:val="(%1)"/>
      <w:numFmt w:val="lowerLetter"/>
      <w:start w:val="1"/>
    </w:lvl>
  </w:abstractNum>
  <w:abstractNum w:abstractNumId="46">
    <w:nsid w:val="579478FE"/>
    <w:multiLevelType w:val="hybridMultilevel"/>
    <w:lvl w:ilvl="0">
      <w:lvlJc w:val="left"/>
      <w:lvlText w:val="(%1)"/>
      <w:numFmt w:val="lowerLetter"/>
      <w:start w:val="4"/>
    </w:lvl>
  </w:abstractNum>
  <w:abstractNum w:abstractNumId="47">
    <w:nsid w:val="749ABB43"/>
    <w:multiLevelType w:val="hybridMultilevel"/>
    <w:lvl w:ilvl="0">
      <w:lvlJc w:val="left"/>
      <w:lvlText w:val="(%1)"/>
      <w:numFmt w:val="lowerLetter"/>
      <w:start w:val="10"/>
    </w:lvl>
  </w:abstractNum>
  <w:abstractNum w:abstractNumId="48">
    <w:nsid w:val="3DC240FB"/>
    <w:multiLevelType w:val="hybridMultilevel"/>
    <w:lvl w:ilvl="0">
      <w:lvlJc w:val="left"/>
      <w:lvlText w:val="(%1)"/>
      <w:numFmt w:val="lowerLetter"/>
      <w:start w:val="1"/>
    </w:lvl>
  </w:abstractNum>
  <w:abstractNum w:abstractNumId="49">
    <w:nsid w:val="1BA026FA"/>
    <w:multiLevelType w:val="hybridMultilevel"/>
    <w:lvl w:ilvl="0">
      <w:lvlJc w:val="left"/>
      <w:lvlText w:val="(%1)"/>
      <w:numFmt w:val="lowerLetter"/>
      <w:start w:val="4"/>
    </w:lvl>
  </w:abstractNum>
  <w:abstractNum w:abstractNumId="50">
    <w:nsid w:val="79A1DEAA"/>
    <w:multiLevelType w:val="hybridMultilevel"/>
    <w:lvl w:ilvl="0">
      <w:lvlJc w:val="left"/>
      <w:lvlText w:val="(%1)"/>
      <w:numFmt w:val="lowerRoman"/>
      <w:start w:val="5"/>
    </w:lvl>
  </w:abstractNum>
  <w:abstractNum w:abstractNumId="51">
    <w:nsid w:val="75C6C33A"/>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19" Type="http://schemas.openxmlformats.org/officeDocument/2006/relationships/hyperlink" Target="http://www.sec.gov/Archives/edgar/data/2088281/000119312526202395/d14360d1012b.htm" TargetMode="External"/><Relationship Id="rId20" Type="http://schemas.openxmlformats.org/officeDocument/2006/relationships/hyperlink" Target="http://www.sec.gov/Archives/edgar/data/2088281/000119312526241891/d14360d1012ba.htm" TargetMode="External"/><Relationship Id="rId21" Type="http://schemas.openxmlformats.org/officeDocument/2006/relationships/hyperlink" Target="http://www.sec.gov/ix?doc=/Archives/edgar/data/2088281/000119312526276742/d17861d8k.htm" TargetMode="External"/><Relationship Id="rId22" Type="http://schemas.openxmlformats.org/officeDocument/2006/relationships/hyperlink" Target="http://www.sec.gov/ix?doc=/Archives/edgar/data/2088281/000119312526288554/d70874d8k.htm" TargetMode="External"/><Relationship Id="rId23" Type="http://schemas.openxmlformats.org/officeDocument/2006/relationships/hyperlink" Target="http://www.sec.gov/Archives/edgar/data/2088281/000119312526241891/d14360dex991.htm#ex99_1_14360_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2026-07-02T15:44:59Z</dcterms:created>
  <dcterms:modified xsi:type="dcterms:W3CDTF">2026-07-02T15:44:59Z</dcterms:modified>
</cp:coreProperties>
</file>