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McCarthy Cathy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10275 WEST HIGGINS ROAD,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ROSEMON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11,589</w:t>
            </w:r>
            <w:r>
              <w:rPr>
                <w:rFonts w:ascii="Times;serif" w:hAnsi="Times;serif"/>
                <w:color w:val="008000"/>
                <w:position w:val="7"/>
                <w:sz w:val="16"/>
                <w:sz w:val="20"/>
                <w:shd w:fill="FFFFFF" w:val="clear"/>
              </w:rPr>
              <w:t>(2)</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time-based restricted stock units ("RSUs"). Each RSU represents a contingent right to receive one share of common stock on the applicable vesting date. These RSUs vested in full on July 30, 2026. Vested shares will be issued to the reporting person after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9,719 shares of common stock that have been acquired through a distribution in connection with the spin-off (the "Spin-Off") of the Issuer from The Middleby Corporation ("Middleby"), in an exempt acquisition pursuant to Rule 16a-9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represent time-based RSUs. Each RSU represents a contingent right to receive one share of common stock on the applicable vesting date. These RSUs will vest in full on March 19, 2027. Vested shares will be issued to the reporting person after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an administrative error, the original Form 4 filed on August 3, 2026 incorrectly reported an acquisition of 5,062 time-based RSUs from the conversion of the corresponding RSUs of Middleby in connection with the Spin-Off, which acquisition did not occur. Instead, the Middleby RSUs were forfeited for no consideration. This Form 4 amendment is being filed solely to correct such error.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 Drake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0433"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780</Words>
  <Characters>4185</Characters>
  <CharactersWithSpaces>4887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