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088281-20260810.htm"/>
      <w:bookmarkStart w:id="1" w:name="ksck0002088281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MIDERA FOOD PROCESSING,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001-43265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39-3886250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10275 West Higgins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Rosemont,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857-6696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MFP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righ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13, 2026, Midera Food Processing, Inc. (the “Company”) issued a press release announcing its financial results for the quarter ended July 4, 2026. A copy of the press release is furnished as Exhibit 99.1 hereto.</w:t>
      </w:r>
    </w:p>
    <w:p>
      <w:pPr>
        <w:pStyle w:val="TextBody"/>
        <w:bidi w:val="0"/>
        <w:spacing w:before="120" w:after="283"/>
        <w:jc w:val="both"/>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scheduled a conference call to discuss its financial results for the quarter ended July 4, 2026 at 4:00 PM Central Time (5:00 PM Eastern Time) today. A live audio webcast of the conference call, along with supplemental presentation slides, will be accessible on the Company's Investor Relations website at </w:t>
      </w:r>
      <w:r>
        <w:rPr>
          <w:rFonts w:ascii="Times New Roman" w:hAnsi="Times New Roman"/>
          <w:sz w:val="20"/>
        </w:rPr>
        <w:t>https://investors.midera.com</w:t>
      </w:r>
      <w:r>
        <w:rPr>
          <w:rFonts w:ascii="Times New Roman" w:hAnsi="Times New Roman"/>
          <w:color w:val="000000"/>
          <w:sz w:val="20"/>
        </w:rPr>
        <w:t>. An archived replay of the webcast will also be available shortly after the live event has concluded.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furnished pursuant to Item 2.02 and Item 7.01 of this Current Report on Form 8-K, including Exhibit 99.1, shall not be deemed to be “filed” for purposes of Section 18 of the Securities Exchange Act of 1934, as amended, or otherwise subject to the liabilities of that section, nor shall it be deemed incorporated by reference into any future filing under the Securities Act of 1933, as amended, except as expressly set forth by specific reference in such filing.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furnished as part of this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color w:val="000000"/>
          <w:sz w:val="20"/>
        </w:rPr>
        <w:t xml:space="preserve"> </w:t>
      </w:r>
      <w:r>
        <w:rPr>
          <w:rFonts w:ascii="Times New Roman" w:hAnsi="Times New Roman"/>
          <w:b/>
          <w:color w:val="000000"/>
          <w:sz w:val="20"/>
          <w:u w:val="single"/>
        </w:rPr>
        <w:t>Description</w:t>
      </w:r>
    </w:p>
    <w:p>
      <w:pPr>
        <w:pStyle w:val="TextBody"/>
        <w:bidi w:val="0"/>
        <w:jc w:val="left"/>
        <w:rPr/>
      </w:pPr>
      <w:r>
        <w:rPr/>
        <w:t> </w:t>
      </w:r>
    </w:p>
    <w:p>
      <w:pPr>
        <w:pStyle w:val="TextBody"/>
        <w:bidi w:val="0"/>
        <w:jc w:val="left"/>
        <w:rPr/>
      </w:pPr>
      <w:hyperlink w:anchor="ck0002088281-ex99_1.htm">
        <w:r>
          <w:rPr>
            <w:rStyle w:val="InternetLink"/>
            <w:rFonts w:ascii="Times New Roman" w:hAnsi="Times New Roman"/>
            <w:color w:val="0000FF"/>
            <w:sz w:val="20"/>
            <w:u w:val="single"/>
          </w:rPr>
          <w:t>99.1</w:t>
        </w:r>
      </w:hyperlink>
      <w:r>
        <w:rPr>
          <w:rFonts w:ascii="Times New Roman" w:hAnsi="Times New Roman"/>
          <w:color w:val="000000"/>
          <w:sz w:val="20"/>
        </w:rPr>
        <w:t xml:space="preserve"> </w:t>
      </w:r>
      <w:hyperlink w:anchor="ck0002088281-ex99_1.htm">
        <w:r>
          <w:rPr>
            <w:rStyle w:val="InternetLink"/>
            <w:rFonts w:ascii="Times New Roman" w:hAnsi="Times New Roman"/>
            <w:color w:val="0000FF"/>
            <w:sz w:val="20"/>
            <w:u w:val="single"/>
          </w:rPr>
          <w:t>Press release, dated August 13, 2026</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(formatted as Inline XBRL)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14" w:type="dxa"/>
        <w:jc w:val="left"/>
        <w:tblInd w:w="0" w:type="dxa"/>
        <w:tblLayout w:type="fixed"/>
        <w:tblCellMar>
          <w:top w:w="28" w:type="dxa"/>
          <w:left w:w="28" w:type="dxa"/>
          <w:bottom w:w="28" w:type="dxa"/>
          <w:right w:w="28" w:type="dxa"/>
        </w:tblCellMar>
      </w:tblPr>
      <w:tblGrid>
        <w:gridCol w:w="556"/>
        <w:gridCol w:w="1456"/>
        <w:gridCol w:w="45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MIDERA FOOD PROCESSING,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Amy A. Campbell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Amy A. Campbell</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80"/>
        <w:jc w:val="center"/>
        <w:rPr/>
      </w:pPr>
      <w:bookmarkStart w:id="2" w:name="ck0002088281-ex99_1.htm"/>
      <w:bookmarkStart w:id="3" w:name="ksck0002088281ex99_1"/>
      <w:bookmarkEnd w:id="2"/>
      <w:bookmarkEnd w:id="3"/>
      <w:r>
        <w:rPr/>
        <w:drawing>
          <wp:inline distT="0" distB="0" distL="0" distR="0">
            <wp:extent cx="32766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6600" cy="771525"/>
                    </a:xfrm>
                    <a:prstGeom prst="rect">
                      <a:avLst/>
                    </a:prstGeom>
                  </pic:spPr>
                </pic:pic>
              </a:graphicData>
            </a:graphic>
          </wp:inline>
        </w:drawing>
      </w:r>
      <w:r>
        <w:br w:type="page"/>
      </w:r>
    </w:p>
    <w:p>
      <w:pPr>
        <w:pStyle w:val="TextBody"/>
        <w:bidi w:val="0"/>
        <w:spacing w:before="0" w:after="120"/>
        <w:jc w:val="center"/>
        <w:rPr>
          <w:rFonts w:ascii="Aptos;sans-serif" w:hAnsi="Aptos;sans-serif"/>
          <w:b/>
          <w:color w:val="000000"/>
          <w:sz w:val="24"/>
        </w:rPr>
      </w:pPr>
      <w:r>
        <w:rPr>
          <w:rFonts w:ascii="Aptos;sans-serif" w:hAnsi="Aptos;sans-serif"/>
          <w:b/>
          <w:color w:val="000000"/>
          <w:sz w:val="24"/>
        </w:rPr>
        <w:t>MIDERA FOOD PROCESSING REPORTS SECOND QUARTER 2026 RESULTS IN FIRST REPORT AS AN INDEPENDENT PUBLIC COMPANY</w:t>
      </w:r>
    </w:p>
    <w:p>
      <w:pPr>
        <w:pStyle w:val="TextBody"/>
        <w:bidi w:val="0"/>
        <w:spacing w:before="0" w:after="120"/>
        <w:jc w:val="left"/>
        <w:rPr/>
      </w:pPr>
      <w:r>
        <w:rPr/>
        <w:t> </w:t>
      </w:r>
    </w:p>
    <w:p>
      <w:pPr>
        <w:pStyle w:val="TextBody"/>
        <w:bidi w:val="0"/>
        <w:spacing w:before="0" w:after="120"/>
        <w:jc w:val="center"/>
        <w:rPr>
          <w:rFonts w:ascii="Aptos;sans-serif" w:hAnsi="Aptos;sans-serif"/>
          <w:i/>
          <w:color w:val="000000"/>
          <w:sz w:val="22"/>
        </w:rPr>
      </w:pPr>
      <w:r>
        <w:rPr>
          <w:rFonts w:ascii="Aptos;sans-serif" w:hAnsi="Aptos;sans-serif"/>
          <w:i/>
          <w:color w:val="000000"/>
          <w:sz w:val="22"/>
        </w:rPr>
        <w:t>Completed separation from The Middleby Corporation on July 6, 2026</w:t>
      </w:r>
    </w:p>
    <w:p>
      <w:pPr>
        <w:pStyle w:val="TextBody"/>
        <w:bidi w:val="0"/>
        <w:spacing w:before="0" w:after="120"/>
        <w:jc w:val="center"/>
        <w:rPr>
          <w:rFonts w:ascii="Aptos;sans-serif" w:hAnsi="Aptos;sans-serif"/>
          <w:i/>
          <w:color w:val="000000"/>
          <w:sz w:val="22"/>
        </w:rPr>
      </w:pPr>
      <w:r>
        <w:rPr>
          <w:rFonts w:ascii="Aptos;sans-serif" w:hAnsi="Aptos;sans-serif"/>
          <w:i/>
          <w:color w:val="000000"/>
          <w:sz w:val="22"/>
        </w:rPr>
        <w:t>Strong demand with orders up 16% year-over-year</w:t>
      </w:r>
    </w:p>
    <w:p>
      <w:pPr>
        <w:pStyle w:val="TextBody"/>
        <w:bidi w:val="0"/>
        <w:spacing w:before="0" w:after="120"/>
        <w:jc w:val="center"/>
        <w:rPr>
          <w:rFonts w:ascii="Aptos;sans-serif" w:hAnsi="Aptos;sans-serif"/>
          <w:i/>
          <w:color w:val="000000"/>
          <w:sz w:val="22"/>
        </w:rPr>
      </w:pPr>
      <w:r>
        <w:rPr>
          <w:rFonts w:ascii="Aptos;sans-serif" w:hAnsi="Aptos;sans-serif"/>
          <w:i/>
          <w:color w:val="000000"/>
          <w:sz w:val="22"/>
        </w:rPr>
        <w:t>Raises Full-Year 2026 Guidance</w:t>
      </w:r>
    </w:p>
    <w:p>
      <w:pPr>
        <w:pStyle w:val="TextBody"/>
        <w:bidi w:val="0"/>
        <w:spacing w:before="0" w:after="120"/>
        <w:jc w:val="center"/>
        <w:rPr/>
      </w:pPr>
      <w:r>
        <w:rPr/>
        <w:t> </w:t>
      </w:r>
    </w:p>
    <w:p>
      <w:pPr>
        <w:pStyle w:val="TextBody"/>
        <w:bidi w:val="0"/>
        <w:spacing w:before="0" w:after="120"/>
        <w:jc w:val="both"/>
        <w:rPr>
          <w:rFonts w:ascii="Times New Roman" w:hAnsi="Times New Roman"/>
          <w:sz w:val="20"/>
        </w:rPr>
      </w:pPr>
      <w:r>
        <w:rPr>
          <w:rFonts w:ascii="Aptos;sans-serif" w:hAnsi="Aptos;sans-serif"/>
          <w:b/>
          <w:color w:val="000000"/>
          <w:sz w:val="22"/>
        </w:rPr>
        <w:t>ROSEMONT, Ill.— August 13, 2026 —</w:t>
      </w:r>
      <w:r>
        <w:rPr>
          <w:rFonts w:ascii="Times New Roman" w:hAnsi="Times New Roman"/>
          <w:color w:val="000000"/>
          <w:sz w:val="20"/>
        </w:rPr>
        <w:t xml:space="preserve"> </w:t>
      </w:r>
      <w:r>
        <w:rPr>
          <w:rFonts w:ascii="Aptos;sans-serif" w:hAnsi="Aptos;sans-serif"/>
          <w:color w:val="000000"/>
          <w:sz w:val="22"/>
        </w:rPr>
        <w:t>Midera Food Processing, Inc. (Nasdaq: MFP) (“Midera,” the “Company,” “we,” “our,” or “us”), a leading global pure-play food processing technology company, today reported financial results for its fiscal second quarter ended July 4, 2026, its first report as an independent, publicly traded company following its separation (the “Spin-off” or “Separation”) from The Middleby Corporation (Nasdaq: MIDD) (“Middleby”) on July 6, 2026.</w:t>
      </w:r>
      <w:r>
        <w:rPr>
          <w:rFonts w:ascii="Times New Roman" w:hAnsi="Times New Roman"/>
          <w:color w:val="000000"/>
          <w:sz w:val="20"/>
        </w:rPr>
        <w:t xml:space="preserve">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Second Quarter 2026 Highlights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color w:val="000000"/>
          <w:sz w:val="22"/>
        </w:rPr>
        <w:t>Net sales of $245 million increased 13.2% over the prior year period; 1.2% increase on an organic basis</w:t>
      </w:r>
      <w:r>
        <w:rPr>
          <w:rFonts w:ascii="Aptos;sans-serif" w:hAnsi="Aptos;sans-serif"/>
          <w:color w:val="000000"/>
          <w:sz w:val="15"/>
        </w:rPr>
        <w:t>1</w:t>
      </w:r>
    </w:p>
    <w:p>
      <w:pPr>
        <w:pStyle w:val="TextBody"/>
        <w:bidi w:val="0"/>
        <w:spacing w:before="0" w:after="120"/>
        <w:jc w:val="both"/>
        <w:rPr>
          <w:color w:val="000000"/>
        </w:rPr>
      </w:pPr>
      <w:r>
        <w:rPr>
          <w:color w:val="000000"/>
        </w:rPr>
        <w:t>•</w:t>
      </w:r>
    </w:p>
    <w:p>
      <w:pPr>
        <w:pStyle w:val="TextBody"/>
        <w:bidi w:val="0"/>
        <w:spacing w:before="0" w:after="120"/>
        <w:jc w:val="both"/>
        <w:rPr>
          <w:rFonts w:ascii="Aptos;sans-serif" w:hAnsi="Aptos;sans-serif"/>
          <w:color w:val="000000"/>
          <w:sz w:val="22"/>
        </w:rPr>
      </w:pPr>
      <w:r>
        <w:rPr>
          <w:rFonts w:ascii="Aptos;sans-serif" w:hAnsi="Aptos;sans-serif"/>
          <w:color w:val="000000"/>
          <w:sz w:val="22"/>
        </w:rPr>
        <w:t>Net earnings of $11 million compared to $29 million in the prior year period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color w:val="000000"/>
          <w:sz w:val="22"/>
        </w:rPr>
        <w:t>Estimated Standalone Adjusted EBITDA</w:t>
      </w:r>
      <w:r>
        <w:rPr>
          <w:rFonts w:ascii="Aptos;sans-serif" w:hAnsi="Aptos;sans-serif"/>
          <w:color w:val="000000"/>
          <w:sz w:val="15"/>
        </w:rPr>
        <w:t>1, 2</w:t>
      </w:r>
      <w:r>
        <w:rPr>
          <w:color w:val="000000"/>
        </w:rPr>
        <w:t xml:space="preserve"> </w:t>
      </w:r>
      <w:r>
        <w:rPr>
          <w:rFonts w:ascii="Aptos;sans-serif" w:hAnsi="Aptos;sans-serif"/>
          <w:color w:val="000000"/>
          <w:sz w:val="22"/>
        </w:rPr>
        <w:t>of $42 million, an increase of 10.6% from the prior year period and above the high end of the previously provided guidance range of $37 million to $41 million when including $8 million for estimated quarterly standalone public company costs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color w:val="000000"/>
          <w:sz w:val="22"/>
        </w:rPr>
        <w:t>Total debt of $259 million, Net debt</w:t>
      </w:r>
      <w:r>
        <w:rPr>
          <w:rFonts w:ascii="Aptos;sans-serif" w:hAnsi="Aptos;sans-serif"/>
          <w:color w:val="000000"/>
          <w:sz w:val="15"/>
        </w:rPr>
        <w:t xml:space="preserve">1 </w:t>
      </w:r>
      <w:r>
        <w:rPr>
          <w:rFonts w:ascii="Aptos;sans-serif" w:hAnsi="Aptos;sans-serif"/>
          <w:color w:val="000000"/>
          <w:sz w:val="22"/>
        </w:rPr>
        <w:t>of $208 million and Net leverage ratio</w:t>
      </w:r>
      <w:r>
        <w:rPr>
          <w:rFonts w:ascii="Aptos;sans-serif" w:hAnsi="Aptos;sans-serif"/>
          <w:color w:val="000000"/>
          <w:sz w:val="15"/>
        </w:rPr>
        <w:t>1</w:t>
      </w:r>
      <w:r>
        <w:rPr>
          <w:color w:val="000000"/>
        </w:rPr>
        <w:t xml:space="preserve"> </w:t>
      </w:r>
      <w:r>
        <w:rPr>
          <w:rFonts w:ascii="Aptos;sans-serif" w:hAnsi="Aptos;sans-serif"/>
          <w:color w:val="000000"/>
          <w:sz w:val="22"/>
        </w:rPr>
        <w:t>of approximately 1.3x as of quarter-end</w:t>
      </w:r>
    </w:p>
    <w:p>
      <w:pPr>
        <w:pStyle w:val="TextBody"/>
        <w:bidi w:val="0"/>
        <w:spacing w:before="0" w:after="120"/>
        <w:jc w:val="both"/>
        <w:rPr>
          <w:color w:val="000000"/>
        </w:rPr>
      </w:pPr>
      <w:r>
        <w:rPr>
          <w:color w:val="000000"/>
        </w:rPr>
        <w:t>•</w:t>
      </w:r>
    </w:p>
    <w:p>
      <w:pPr>
        <w:pStyle w:val="TextBody"/>
        <w:bidi w:val="0"/>
        <w:spacing w:before="0" w:after="120"/>
        <w:jc w:val="both"/>
        <w:rPr>
          <w:rFonts w:ascii="Aptos;sans-serif" w:hAnsi="Aptos;sans-serif"/>
          <w:color w:val="000000"/>
          <w:sz w:val="22"/>
        </w:rPr>
      </w:pPr>
      <w:r>
        <w:rPr>
          <w:rFonts w:ascii="Aptos;sans-serif" w:hAnsi="Aptos;sans-serif"/>
          <w:color w:val="000000"/>
          <w:sz w:val="22"/>
        </w:rPr>
        <w:t>Strong demand with orders up 16% over the prior year period to $275 million, and record backlog of $446 million at quarter-end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color w:val="000000"/>
          <w:sz w:val="22"/>
        </w:rPr>
        <w:t>Raised full-year 2026 guidance. The midpoint of the updated guidance range reflects net sales growth of 11%, organic net sales growth</w:t>
      </w:r>
      <w:r>
        <w:rPr>
          <w:rFonts w:ascii="Aptos;sans-serif" w:hAnsi="Aptos;sans-serif"/>
          <w:color w:val="000000"/>
          <w:sz w:val="15"/>
        </w:rPr>
        <w:t>1</w:t>
      </w:r>
      <w:r>
        <w:rPr>
          <w:color w:val="000000"/>
        </w:rPr>
        <w:t xml:space="preserve"> </w:t>
      </w:r>
      <w:r>
        <w:rPr>
          <w:rFonts w:ascii="Aptos;sans-serif" w:hAnsi="Aptos;sans-serif"/>
          <w:color w:val="000000"/>
          <w:sz w:val="22"/>
        </w:rPr>
        <w:t>of 6%, and Estimated Standalone Adjusted EBITDA</w:t>
      </w:r>
      <w:r>
        <w:rPr>
          <w:rFonts w:ascii="Aptos;sans-serif" w:hAnsi="Aptos;sans-serif"/>
          <w:color w:val="000000"/>
          <w:sz w:val="15"/>
        </w:rPr>
        <w:t>1, 2</w:t>
      </w:r>
      <w:r>
        <w:rPr>
          <w:color w:val="000000"/>
        </w:rPr>
        <w:t xml:space="preserve"> </w:t>
      </w:r>
      <w:r>
        <w:rPr>
          <w:rFonts w:ascii="Aptos;sans-serif" w:hAnsi="Aptos;sans-serif"/>
          <w:color w:val="000000"/>
          <w:sz w:val="22"/>
        </w:rPr>
        <w:t>growth of 20% over the prior year period</w:t>
      </w:r>
    </w:p>
    <w:p>
      <w:pPr>
        <w:pStyle w:val="TextBody"/>
        <w:bidi w:val="0"/>
        <w:spacing w:before="0" w:after="120"/>
        <w:jc w:val="both"/>
        <w:rPr>
          <w:color w:val="000000"/>
        </w:rPr>
      </w:pPr>
      <w:r>
        <w:rPr>
          <w:color w:val="000000"/>
        </w:rPr>
        <w:t>“</w:t>
      </w:r>
      <w:r>
        <w:rPr>
          <w:rFonts w:ascii="Aptos;sans-serif" w:hAnsi="Aptos;sans-serif"/>
          <w:color w:val="000000"/>
          <w:sz w:val="22"/>
        </w:rPr>
        <w:t>Launching as an independent public company validates the strength of the platform we built as a part of Middleby over the last two decades and reinforces our confidence in the significant opportunities ahead as a pure-play food processing technology leader,” said Mark Salman, Chief Executive Officer of Midera. “We saw continued momentum in the second quarter, with orders up 16% and the backlog reaching $446 million, underscoring the increasing value we strive to deliver as a trusted partner throughout the production lifecycle. Importantly, the acquisitions we have integrated over the past year are already positively contributing, a reflection of the disciplined M&amp;A and integration playbook that built our platform.”</w:t>
      </w:r>
    </w:p>
    <w:p>
      <w:pPr>
        <w:pStyle w:val="TextBody"/>
        <w:bidi w:val="0"/>
        <w:spacing w:before="0" w:after="120"/>
        <w:jc w:val="both"/>
        <w:rPr>
          <w:rFonts w:ascii="Times New Roman" w:hAnsi="Times New Roman"/>
          <w:sz w:val="20"/>
        </w:rPr>
      </w:pPr>
      <w:r>
        <w:rPr>
          <w:rFonts w:ascii="Aptos;sans-serif" w:hAnsi="Aptos;sans-serif"/>
          <w:color w:val="000000"/>
          <w:sz w:val="22"/>
        </w:rPr>
        <w:t>Mr. Salman continued, “As a standalone company, we believe we have the focus, agility, and capital allocation flexibility to accelerate our growth framework. Our updated guidance reflects continued margin expansion this year,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16"/>
        </w:rPr>
        <w:t>Non-GAAP financial measure. For further information, please refer to the “Non-GAAP Financial Measures” section of this press release.</w:t>
      </w:r>
    </w:p>
    <w:p>
      <w:pPr>
        <w:pStyle w:val="TextBody"/>
        <w:bidi w:val="0"/>
        <w:jc w:val="left"/>
        <w:rPr>
          <w:rFonts w:ascii="Times New Roman" w:hAnsi="Times New Roman"/>
          <w:sz w:val="20"/>
        </w:rPr>
      </w:pPr>
      <w:r>
        <w:rPr>
          <w:rFonts w:ascii="Aptos;sans-serif" w:hAnsi="Aptos;sans-serif"/>
          <w:color w:val="000000"/>
          <w:sz w:val="13"/>
        </w:rPr>
        <w:t>2</w:t>
      </w:r>
      <w:r>
        <w:rPr>
          <w:rFonts w:ascii="Times New Roman" w:hAnsi="Times New Roman"/>
          <w:color w:val="000000"/>
          <w:sz w:val="20"/>
        </w:rPr>
        <w:t xml:space="preserve"> </w:t>
      </w:r>
      <w:r>
        <w:rPr>
          <w:rFonts w:ascii="Aptos;sans-serif" w:hAnsi="Aptos;sans-serif"/>
          <w:color w:val="000000"/>
          <w:sz w:val="16"/>
        </w:rPr>
        <w:t>Estimated Standalone Adjusted EBITDA includes estimated annual standalone public company costs of $32 million.</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Aptos;sans-serif" w:hAnsi="Aptos;sans-serif"/>
          <w:color w:val="000000"/>
          <w:sz w:val="22"/>
        </w:rPr>
        <w:t>driven by a healthy backlog and the benefits of the Midera Operating System. Our capital allocation priorities remain unchanged: invest first in organic growth opportunities; pursue disciplined strategic acquisitions that strengthen our platform; and maintain a prudent balance sheet with a net leverage ratio</w:t>
      </w: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color w:val="000000"/>
          <w:sz w:val="22"/>
        </w:rPr>
        <w:t>below 3.0x. With substantial liquidity and a robust acquisition pipeline, we believe we are well positioned to generate long-term shareholder value through a balanced combination of organic and inorganic growth.”</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Second Quarter 2026 Financial Results</w:t>
      </w:r>
    </w:p>
    <w:p>
      <w:pPr>
        <w:pStyle w:val="TextBody"/>
        <w:bidi w:val="0"/>
        <w:spacing w:before="0" w:after="120"/>
        <w:jc w:val="both"/>
        <w:rPr>
          <w:rFonts w:ascii="Aptos;sans-serif" w:hAnsi="Aptos;sans-serif"/>
          <w:color w:val="000000"/>
          <w:sz w:val="22"/>
        </w:rPr>
      </w:pPr>
      <w:r>
        <w:rPr>
          <w:rFonts w:ascii="Aptos;sans-serif" w:hAnsi="Aptos;sans-serif"/>
          <w:color w:val="000000"/>
          <w:sz w:val="22"/>
        </w:rPr>
        <w:t>Midera operated as the Food Processing segment of Middleby for the entire second quarter of 2026, prior to separation from Middleby on July 6, 2026. The financial information presented has been derived from Middleby’s accounting records and is presented on a carve-out basis as if Midera had operated as a standalone company for all periods presented.</w:t>
      </w:r>
    </w:p>
    <w:p>
      <w:pPr>
        <w:pStyle w:val="TextBody"/>
        <w:bidi w:val="0"/>
        <w:spacing w:before="0" w:after="120"/>
        <w:jc w:val="both"/>
        <w:rPr>
          <w:rFonts w:ascii="Times New Roman" w:hAnsi="Times New Roman"/>
          <w:sz w:val="20"/>
        </w:rPr>
      </w:pPr>
      <w:r>
        <w:rPr>
          <w:rFonts w:ascii="Aptos;sans-serif" w:hAnsi="Aptos;sans-serif"/>
          <w:color w:val="000000"/>
          <w:sz w:val="22"/>
        </w:rPr>
        <w:t>Net sales were $245.4 million in the second quarter of 2026, an increase of 13.2% compared to $216.7 million in the prior year period. Net sales from the acquisitions of Frigomeccanica and Oka accounted for $23.9 million of the year-over-year increase in the second quarter. Organic net sales growth</w:t>
      </w:r>
      <w:r>
        <w:rPr>
          <w:rFonts w:ascii="Aptos;sans-serif" w:hAnsi="Aptos;sans-serif"/>
          <w:color w:val="000000"/>
          <w:sz w:val="15"/>
        </w:rPr>
        <w:t xml:space="preserve">1 </w:t>
      </w:r>
      <w:r>
        <w:rPr>
          <w:rFonts w:ascii="Aptos;sans-serif" w:hAnsi="Aptos;sans-serif"/>
          <w:color w:val="000000"/>
          <w:sz w:val="22"/>
        </w:rPr>
        <w:t>was 1.2%, primarily driven by increases in aftermarket parts and service in the protein and bakery categories, partially offset by delayed equipment shipments in the snack category.</w:t>
      </w:r>
    </w:p>
    <w:p>
      <w:pPr>
        <w:pStyle w:val="TextBody"/>
        <w:bidi w:val="0"/>
        <w:spacing w:before="0" w:after="120"/>
        <w:jc w:val="both"/>
        <w:rPr>
          <w:rFonts w:ascii="Times New Roman" w:hAnsi="Times New Roman"/>
          <w:sz w:val="20"/>
        </w:rPr>
      </w:pPr>
      <w:r>
        <w:rPr>
          <w:rFonts w:ascii="Aptos;sans-serif" w:hAnsi="Aptos;sans-serif"/>
          <w:color w:val="000000"/>
          <w:sz w:val="22"/>
        </w:rPr>
        <w:t>Net earnings were $10.8 million for the second quarter of 2026 as compared to $29.1 million in the prior year period. Adjusted EBITDA</w:t>
      </w: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color w:val="000000"/>
          <w:sz w:val="22"/>
        </w:rPr>
        <w:t>was $42.3 million for the second quarter of 2026 as compared to $39.1 million in the prior year period.</w:t>
      </w:r>
    </w:p>
    <w:p>
      <w:pPr>
        <w:pStyle w:val="TextBody"/>
        <w:bidi w:val="0"/>
        <w:spacing w:before="0" w:after="120"/>
        <w:jc w:val="both"/>
        <w:rPr>
          <w:rFonts w:ascii="Times New Roman" w:hAnsi="Times New Roman"/>
          <w:sz w:val="20"/>
        </w:rPr>
      </w:pPr>
      <w:r>
        <w:rPr>
          <w:rFonts w:ascii="Aptos;sans-serif" w:hAnsi="Aptos;sans-serif"/>
          <w:color w:val="000000"/>
          <w:sz w:val="22"/>
        </w:rPr>
        <w:t>Estimated Standalone Adjusted EBITDA</w:t>
      </w:r>
      <w:r>
        <w:rPr>
          <w:rFonts w:ascii="Aptos;sans-serif" w:hAnsi="Aptos;sans-serif"/>
          <w:color w:val="000000"/>
          <w:sz w:val="15"/>
        </w:rPr>
        <w:t>1, 2</w:t>
      </w:r>
      <w:r>
        <w:rPr>
          <w:rFonts w:ascii="Times New Roman" w:hAnsi="Times New Roman"/>
          <w:color w:val="000000"/>
          <w:sz w:val="20"/>
        </w:rPr>
        <w:t xml:space="preserve"> </w:t>
      </w:r>
      <w:r>
        <w:rPr>
          <w:rFonts w:ascii="Aptos;sans-serif" w:hAnsi="Aptos;sans-serif"/>
          <w:color w:val="000000"/>
          <w:sz w:val="22"/>
        </w:rPr>
        <w:t>was $41.8 million in the second quarter of 2026, up $4.0 million as compared to $37.8 million in the prior year period, driven primarily by higher sales of aftermarket parts and services and higher equipment sales, including recent acquisitions, partially offset by the impact of cost inflation, including tariffs.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Financial Position</w:t>
      </w:r>
    </w:p>
    <w:p>
      <w:pPr>
        <w:pStyle w:val="TextBody"/>
        <w:bidi w:val="0"/>
        <w:spacing w:before="0" w:after="120"/>
        <w:jc w:val="both"/>
        <w:rPr>
          <w:rFonts w:ascii="Times New Roman" w:hAnsi="Times New Roman"/>
          <w:sz w:val="20"/>
        </w:rPr>
      </w:pPr>
      <w:r>
        <w:rPr>
          <w:rFonts w:ascii="Aptos;sans-serif" w:hAnsi="Aptos;sans-serif"/>
          <w:color w:val="000000"/>
          <w:sz w:val="22"/>
        </w:rPr>
        <w:t>On June 29, 2026, the Company entered into a five-year, $1.0 billion credit agreement in connection with the Spin-off. At the end of the quarter, the Company's Net debt</w:t>
      </w: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color w:val="000000"/>
          <w:sz w:val="22"/>
        </w:rPr>
        <w:t>was $208.1 million, consisting of total debt of $258.6 million and cash and cash equivalents of $50.5 million. As a result, the Company’s Net leverage ratio</w:t>
      </w:r>
      <w:r>
        <w:rPr>
          <w:rFonts w:ascii="Aptos;sans-serif" w:hAnsi="Aptos;sans-serif"/>
          <w:color w:val="000000"/>
          <w:sz w:val="15"/>
        </w:rPr>
        <w:t>1</w:t>
      </w:r>
      <w:r>
        <w:rPr>
          <w:rFonts w:ascii="Times New Roman" w:hAnsi="Times New Roman"/>
          <w:color w:val="000000"/>
          <w:sz w:val="20"/>
        </w:rPr>
        <w:t xml:space="preserve"> </w:t>
      </w:r>
      <w:r>
        <w:rPr>
          <w:rFonts w:ascii="Aptos;sans-serif" w:hAnsi="Aptos;sans-serif"/>
          <w:color w:val="000000"/>
          <w:sz w:val="22"/>
        </w:rPr>
        <w:t>was 1.3x based on last twelve months Estimated Standalone Adjusted EBITDA</w:t>
      </w:r>
      <w:r>
        <w:rPr>
          <w:rFonts w:ascii="Aptos;sans-serif" w:hAnsi="Aptos;sans-serif"/>
          <w:color w:val="000000"/>
          <w:sz w:val="15"/>
        </w:rPr>
        <w:t xml:space="preserve">1,2 </w:t>
      </w:r>
      <w:r>
        <w:rPr>
          <w:rFonts w:ascii="Aptos;sans-serif" w:hAnsi="Aptos;sans-serif"/>
          <w:color w:val="000000"/>
          <w:sz w:val="22"/>
        </w:rPr>
        <w:t>. Total liquidity was $822.5 million, including cash and cash equivalents and $772.0 million of availability under the Company's revolving credit facility.</w:t>
      </w:r>
    </w:p>
    <w:p>
      <w:pPr>
        <w:pStyle w:val="TextBody"/>
        <w:bidi w:val="0"/>
        <w:spacing w:before="0" w:after="120"/>
        <w:jc w:val="both"/>
        <w:rPr>
          <w:rFonts w:ascii="Aptos;sans-serif" w:hAnsi="Aptos;sans-serif"/>
          <w:color w:val="000000"/>
          <w:sz w:val="22"/>
        </w:rPr>
      </w:pPr>
      <w:r>
        <w:rPr>
          <w:rFonts w:ascii="Aptos;sans-serif" w:hAnsi="Aptos;sans-serif"/>
          <w:color w:val="000000"/>
          <w:sz w:val="22"/>
        </w:rPr>
        <w:t>Capital expenditures were $3.2 million for the second quarter of 2026 as compared to $6.4 million in the prior year period.</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16"/>
        </w:rPr>
        <w:t>Non-GAAP financial measure. For further information, please refer to the “Non-GAAP Financial Measures” section of this press release.</w:t>
      </w:r>
    </w:p>
    <w:p>
      <w:pPr>
        <w:pStyle w:val="TextBody"/>
        <w:bidi w:val="0"/>
        <w:jc w:val="left"/>
        <w:rPr>
          <w:rFonts w:ascii="Times New Roman" w:hAnsi="Times New Roman"/>
          <w:sz w:val="20"/>
        </w:rPr>
      </w:pPr>
      <w:r>
        <w:rPr>
          <w:rFonts w:ascii="Aptos;sans-serif" w:hAnsi="Aptos;sans-serif"/>
          <w:color w:val="000000"/>
          <w:sz w:val="13"/>
        </w:rPr>
        <w:t>2</w:t>
      </w:r>
      <w:r>
        <w:rPr>
          <w:rFonts w:ascii="Times New Roman" w:hAnsi="Times New Roman"/>
          <w:color w:val="000000"/>
          <w:sz w:val="20"/>
        </w:rPr>
        <w:t xml:space="preserve"> </w:t>
      </w:r>
      <w:r>
        <w:rPr>
          <w:rFonts w:ascii="Aptos;sans-serif" w:hAnsi="Aptos;sans-serif"/>
          <w:color w:val="000000"/>
          <w:sz w:val="16"/>
        </w:rPr>
        <w:t>Estimated Standalone Adjusted EBITDA includes estimated annual standalone public company costs of $32 million.</w:t>
      </w:r>
    </w:p>
    <w:p>
      <w:pPr>
        <w:pStyle w:val="HorizontalLine"/>
        <w:pBdr>
          <w:bottom w:val="double" w:sz="2" w:space="0" w:color="808080"/>
        </w:pBdr>
        <w:bidi w:val="0"/>
        <w:spacing w:before="0" w:after="283"/>
        <w:jc w:val="left"/>
        <w:rPr/>
      </w:pPr>
      <w:r>
        <w:rPr/>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Guidance</w:t>
      </w:r>
    </w:p>
    <w:p>
      <w:pPr>
        <w:pStyle w:val="TextBody"/>
        <w:bidi w:val="0"/>
        <w:spacing w:before="0" w:after="120"/>
        <w:jc w:val="both"/>
        <w:rPr>
          <w:rFonts w:ascii="Times New Roman" w:hAnsi="Times New Roman"/>
          <w:sz w:val="20"/>
        </w:rPr>
      </w:pPr>
      <w:r>
        <w:rPr>
          <w:rFonts w:ascii="Aptos;sans-serif" w:hAnsi="Aptos;sans-serif"/>
          <w:color w:val="000000"/>
          <w:sz w:val="22"/>
        </w:rPr>
        <w:t>The Company is updating its full-year 2026 guidance to reflect an increase in the midpoints of its expected ranges for Net sales and Estimated Standalone Adjusted EBITDA</w:t>
      </w:r>
      <w:r>
        <w:rPr>
          <w:rFonts w:ascii="Aptos;sans-serif" w:hAnsi="Aptos;sans-serif"/>
          <w:color w:val="000000"/>
          <w:sz w:val="15"/>
        </w:rPr>
        <w:t>1, 2</w:t>
      </w:r>
      <w:r>
        <w:rPr>
          <w:rFonts w:ascii="Aptos;sans-serif" w:hAnsi="Aptos;sans-serif"/>
          <w:color w:val="000000"/>
          <w:sz w:val="22"/>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7"/>
        <w:gridCol w:w="146"/>
        <w:gridCol w:w="1142"/>
        <w:gridCol w:w="146"/>
        <w:gridCol w:w="1243"/>
        <w:gridCol w:w="1293"/>
        <w:gridCol w:w="146"/>
        <w:gridCol w:w="1622"/>
      </w:tblGrid>
      <w:tr>
        <w:trPr/>
        <w:tc>
          <w:tcPr>
            <w:tcW w:w="4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4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Aptos;sans-serif" w:hAnsi="Aptos;sans-serif"/>
                <w:b/>
                <w:color w:val="000000"/>
                <w:sz w:val="22"/>
              </w:rPr>
              <w:t xml:space="preserve">FY 2026 </w:t>
            </w:r>
            <w:r>
              <w:rPr>
                <w:rFonts w:ascii="Aptos;sans-serif" w:hAnsi="Aptos;sans-serif"/>
                <w:color w:val="000000"/>
                <w:sz w:val="22"/>
              </w:rPr>
              <w:br/>
            </w:r>
            <w:r>
              <w:rPr>
                <w:rFonts w:ascii="Aptos;sans-serif" w:hAnsi="Aptos;sans-serif"/>
                <w:b/>
                <w:color w:val="000000"/>
                <w:sz w:val="22"/>
              </w:rPr>
              <w:t>Guidance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467"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2"/>
              </w:rPr>
            </w:pPr>
            <w:r>
              <w:rPr>
                <w:rFonts w:ascii="Aptos;sans-serif" w:hAnsi="Aptos;sans-serif"/>
                <w:i/>
                <w:color w:val="000000"/>
                <w:sz w:val="22"/>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 xml:space="preserve">FY 2025 </w:t>
              <w:br/>
              <w:t>Actuals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sz w:val="22"/>
              </w:rPr>
            </w:pPr>
            <w:r>
              <w:rPr>
                <w:rFonts w:ascii="Aptos;sans-serif" w:hAnsi="Aptos;sans-serif"/>
                <w:b/>
                <w:color w:val="000000"/>
                <w:sz w:val="22"/>
              </w:rPr>
              <w:t>Prior</w:t>
            </w:r>
            <w:r>
              <w:rPr>
                <w:rFonts w:ascii="Aptos;sans-serif" w:hAnsi="Aptos;sans-serif"/>
                <w:b/>
                <w:color w:val="000000"/>
                <w:sz w:val="15"/>
              </w:rPr>
              <w:t>3</w:t>
            </w:r>
          </w:p>
        </w:tc>
        <w:tc>
          <w:tcPr>
            <w:tcW w:w="12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Aptos;sans-serif" w:hAnsi="Aptos;sans-serif"/>
                <w:color w:val="000000"/>
                <w:sz w:val="22"/>
              </w:rPr>
              <w:br/>
            </w:r>
            <w:r>
              <w:rPr>
                <w:rFonts w:ascii="Aptos;sans-serif" w:hAnsi="Aptos;sans-serif"/>
                <w:b/>
                <w:color w:val="000000"/>
                <w:sz w:val="22"/>
              </w:rP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Aptos;sans-serif" w:hAnsi="Aptos;sans-serif"/>
                <w:b/>
                <w:color w:val="000000"/>
                <w:sz w:val="22"/>
              </w:rPr>
              <w:t xml:space="preserve">% change </w:t>
            </w:r>
            <w:r>
              <w:rPr>
                <w:rFonts w:ascii="Aptos;sans-serif" w:hAnsi="Aptos;sans-serif"/>
                <w:color w:val="000000"/>
                <w:sz w:val="22"/>
              </w:rPr>
              <w:br/>
            </w:r>
            <w:r>
              <w:rPr>
                <w:rFonts w:ascii="Aptos;sans-serif" w:hAnsi="Aptos;sans-serif"/>
                <w:b/>
                <w:color w:val="000000"/>
                <w:sz w:val="22"/>
              </w:rPr>
              <w:t>vs. FY 2025</w:t>
            </w:r>
            <w:r>
              <w:rPr>
                <w:rFonts w:ascii="Aptos;sans-serif" w:hAnsi="Aptos;sans-serif"/>
                <w:b/>
                <w:color w:val="000000"/>
                <w:sz w:val="15"/>
              </w:rPr>
              <w:t>4</w:t>
            </w:r>
          </w:p>
        </w:tc>
      </w:tr>
      <w:tr>
        <w:trPr/>
        <w:tc>
          <w:tcPr>
            <w:tcW w:w="4467"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Net sales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$853</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$915-945</w:t>
            </w:r>
            <w:r>
              <w:rPr>
                <w:rFonts w:ascii="Times New Roman" w:hAnsi="Times New Roman"/>
                <w:color w:val="000000"/>
                <w:sz w:val="22"/>
              </w:rPr>
              <w:t xml:space="preserve"> </w:t>
            </w:r>
          </w:p>
        </w:tc>
        <w:tc>
          <w:tcPr>
            <w:tcW w:w="1293"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$935-965</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~11%</w:t>
            </w:r>
            <w:r>
              <w:rPr>
                <w:rFonts w:ascii="Times New Roman" w:hAnsi="Times New Roman"/>
                <w:color w:val="000000"/>
                <w:sz w:val="22"/>
              </w:rPr>
              <w:t xml:space="preserve"> </w:t>
            </w:r>
          </w:p>
        </w:tc>
      </w:tr>
      <w:tr>
        <w:trPr/>
        <w:tc>
          <w:tcPr>
            <w:tcW w:w="4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Change in Organic net sales</w:t>
            </w:r>
            <w:r>
              <w:rPr>
                <w:rFonts w:ascii="Arial" w:hAnsi="Arial"/>
                <w:color w:val="000000"/>
                <w:sz w:val="15"/>
              </w:rPr>
              <w:t>1, 5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color w:val="000000"/>
                <w:sz w:val="22"/>
              </w:rPr>
              <w:t>~6%</w:t>
            </w:r>
            <w:r>
              <w:rPr>
                <w:rFonts w:ascii="Times New Roman" w:hAnsi="Times New Roman"/>
                <w:color w:val="000000"/>
                <w:sz w:val="22"/>
              </w:rPr>
              <w:t xml:space="preserve"> </w:t>
            </w:r>
          </w:p>
        </w:tc>
      </w:tr>
      <w:tr>
        <w:trPr/>
        <w:tc>
          <w:tcPr>
            <w:tcW w:w="4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ptos;sans-serif" w:hAnsi="Aptos;sans-serif"/>
                <w:b/>
                <w:color w:val="000000"/>
                <w:sz w:val="22"/>
              </w:rPr>
              <w:t>Estimated Standalone Adjusted EBITDA</w:t>
            </w:r>
            <w:r>
              <w:rPr>
                <w:rFonts w:ascii="Arial" w:hAnsi="Arial"/>
                <w:color w:val="000000"/>
                <w:sz w:val="15"/>
              </w:rPr>
              <w:t>1, 2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$140</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$154-176</w:t>
            </w:r>
            <w:r>
              <w:rPr>
                <w:rFonts w:ascii="Times New Roman" w:hAnsi="Times New Roman"/>
                <w:color w:val="000000"/>
                <w:sz w:val="22"/>
              </w:rPr>
              <w:t xml:space="preserve"> </w:t>
            </w:r>
          </w:p>
        </w:tc>
        <w:tc>
          <w:tcPr>
            <w:tcW w:w="1293"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$160-176</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Aptos;sans-serif" w:hAnsi="Aptos;sans-serif"/>
                <w:b/>
                <w:color w:val="000000"/>
                <w:sz w:val="22"/>
              </w:rPr>
              <w:t>~20%</w:t>
            </w:r>
            <w:r>
              <w:rPr>
                <w:rFonts w:ascii="Times New Roman" w:hAnsi="Times New Roman"/>
                <w:color w:val="000000"/>
                <w:sz w:val="22"/>
              </w:rPr>
              <w:t xml:space="preserve"> </w:t>
            </w:r>
          </w:p>
        </w:tc>
      </w:tr>
    </w:tbl>
    <w:p>
      <w:pPr>
        <w:pStyle w:val="TextBody"/>
        <w:bidi w:val="0"/>
        <w:spacing w:before="0" w:after="120"/>
        <w:jc w:val="left"/>
        <w:rPr/>
      </w:pPr>
      <w:r>
        <w:rPr/>
        <w:t> </w:t>
      </w:r>
    </w:p>
    <w:p>
      <w:pPr>
        <w:pStyle w:val="TextBody"/>
        <w:bidi w:val="0"/>
        <w:spacing w:before="0" w:after="120"/>
        <w:jc w:val="both"/>
        <w:rPr>
          <w:rFonts w:ascii="Aptos;sans-serif" w:hAnsi="Aptos;sans-serif"/>
          <w:color w:val="000000"/>
          <w:sz w:val="22"/>
        </w:rPr>
      </w:pPr>
      <w:r>
        <w:rPr>
          <w:rFonts w:ascii="Aptos;sans-serif" w:hAnsi="Aptos;sans-serif"/>
          <w:color w:val="000000"/>
          <w:sz w:val="22"/>
        </w:rPr>
        <w:t>The Company is also providing the following modeling assumptions for full-year 2026:</w:t>
      </w:r>
    </w:p>
    <w:p>
      <w:pPr>
        <w:pStyle w:val="TextBody"/>
        <w:bidi w:val="0"/>
        <w:spacing w:before="0" w:after="120"/>
        <w:jc w:val="both"/>
        <w:rPr>
          <w:color w:val="000000"/>
        </w:rPr>
      </w:pPr>
      <w:r>
        <w:rPr>
          <w:color w:val="000000"/>
        </w:rPr>
        <w:t>▪</w:t>
      </w:r>
    </w:p>
    <w:p>
      <w:pPr>
        <w:pStyle w:val="TextBody"/>
        <w:bidi w:val="0"/>
        <w:spacing w:before="0" w:after="120"/>
        <w:jc w:val="both"/>
        <w:rPr>
          <w:rFonts w:ascii="Aptos;sans-serif" w:hAnsi="Aptos;sans-serif"/>
          <w:color w:val="000000"/>
          <w:sz w:val="22"/>
        </w:rPr>
      </w:pPr>
      <w:r>
        <w:rPr>
          <w:rFonts w:ascii="Aptos;sans-serif" w:hAnsi="Aptos;sans-serif"/>
          <w:color w:val="000000"/>
          <w:sz w:val="22"/>
        </w:rPr>
        <w:t>Depreciation and Amortization: $26 million to $28 million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color w:val="000000"/>
          <w:sz w:val="22"/>
        </w:rPr>
        <w:t>Interest expense, net</w:t>
      </w:r>
      <w:r>
        <w:rPr>
          <w:rFonts w:ascii="Aptos;sans-serif" w:hAnsi="Aptos;sans-serif"/>
          <w:color w:val="000000"/>
          <w:sz w:val="15"/>
        </w:rPr>
        <w:t>6</w:t>
      </w:r>
      <w:r>
        <w:rPr>
          <w:rFonts w:ascii="Aptos;sans-serif" w:hAnsi="Aptos;sans-serif"/>
          <w:color w:val="000000"/>
          <w:sz w:val="22"/>
        </w:rPr>
        <w:t>: $7 million to $8 million</w:t>
      </w:r>
    </w:p>
    <w:p>
      <w:pPr>
        <w:pStyle w:val="TextBody"/>
        <w:bidi w:val="0"/>
        <w:spacing w:before="0" w:after="120"/>
        <w:jc w:val="both"/>
        <w:rPr>
          <w:color w:val="000000"/>
        </w:rPr>
      </w:pPr>
      <w:r>
        <w:rPr>
          <w:color w:val="000000"/>
        </w:rPr>
        <w:t>▪</w:t>
      </w:r>
    </w:p>
    <w:p>
      <w:pPr>
        <w:pStyle w:val="TextBody"/>
        <w:bidi w:val="0"/>
        <w:spacing w:before="0" w:after="120"/>
        <w:jc w:val="both"/>
        <w:rPr>
          <w:rFonts w:ascii="Aptos;sans-serif" w:hAnsi="Aptos;sans-serif"/>
          <w:color w:val="000000"/>
          <w:sz w:val="22"/>
        </w:rPr>
      </w:pPr>
      <w:r>
        <w:rPr>
          <w:rFonts w:ascii="Aptos;sans-serif" w:hAnsi="Aptos;sans-serif"/>
          <w:color w:val="000000"/>
          <w:sz w:val="22"/>
        </w:rPr>
        <w:t>Diluted Weighted Average Shares Outstanding: 45 to 46 million</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Share Repurchase Program</w:t>
      </w:r>
    </w:p>
    <w:p>
      <w:pPr>
        <w:pStyle w:val="TextBody"/>
        <w:bidi w:val="0"/>
        <w:spacing w:before="0" w:after="120"/>
        <w:jc w:val="both"/>
        <w:rPr>
          <w:rFonts w:ascii="Aptos;sans-serif" w:hAnsi="Aptos;sans-serif"/>
          <w:color w:val="000000"/>
          <w:sz w:val="22"/>
        </w:rPr>
      </w:pPr>
      <w:r>
        <w:rPr>
          <w:rFonts w:ascii="Aptos;sans-serif" w:hAnsi="Aptos;sans-serif"/>
          <w:color w:val="000000"/>
          <w:sz w:val="22"/>
        </w:rPr>
        <w:t>On August 10, 2026, the Company's Board of Directors authorized a share repurchase program, which expires on August 10, 2029, pursuant to which the Company may repurchase up to $50 million of its common stock. The primary purpose of the share repurchase program is to mitigate stockholder dilution from equity awards. The timing and amount of any shares repurchased will be determined by the Company based on its evaluation of market conditions and other factors, and will be made in accordance with applicable securities laws in either the open market or in privately negotiated transactions. Open market repurchases may be structured to occur in accordance with the requirements of Rule 10b-18. The Company may also, from time to time, enter into Rule 10b5-1 plans to facilitate share repurchases under this authorization. The Company is not obligated to purchase any shares under the program, and the program may be suspended or discontinued at any time. The actual timing, number, and share price of shares repurchased will depend on a number of factors, including the market price of the Company's common stock, general market and economic conditions, alternative investment or acquisition opportunities, and applicable legal requirements.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Conference Call Details</w:t>
      </w:r>
    </w:p>
    <w:p>
      <w:pPr>
        <w:pStyle w:val="TextBody"/>
        <w:bidi w:val="0"/>
        <w:spacing w:before="0" w:after="120"/>
        <w:jc w:val="both"/>
        <w:rPr>
          <w:rFonts w:ascii="Times New Roman" w:hAnsi="Times New Roman"/>
          <w:sz w:val="20"/>
        </w:rPr>
      </w:pPr>
      <w:r>
        <w:rPr>
          <w:rFonts w:ascii="Aptos;sans-serif" w:hAnsi="Aptos;sans-serif"/>
          <w:color w:val="000000"/>
          <w:sz w:val="22"/>
        </w:rPr>
        <w:t>The Company has scheduled a conference call to discuss its fiscal second quarter 2026 financial results at 4:00 PM Central Time (5:00 PM Eastern Time) today.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ptos;sans-serif" w:hAnsi="Aptos;sans-serif"/>
          <w:color w:val="000000"/>
          <w:sz w:val="22"/>
        </w:rPr>
        <w:t xml:space="preserve">The live audio webcast of the conference call will be accessible in the News &amp; Events section on the Company's Investor Relations website at </w:t>
      </w:r>
      <w:r>
        <w:rPr>
          <w:rFonts w:ascii="Aptos;sans-serif" w:hAnsi="Aptos;sans-serif"/>
          <w:sz w:val="22"/>
        </w:rPr>
        <w:t>https://investors.midera.com</w:t>
      </w:r>
      <w:r>
        <w:rPr>
          <w:rFonts w:ascii="Aptos;sans-serif" w:hAnsi="Aptos;sans-serif"/>
          <w:color w:val="000000"/>
          <w:sz w:val="22"/>
        </w:rPr>
        <w:t>. An archived replay of the webcast will also be available shortly after the live event has concluded.</w:t>
      </w:r>
      <w:r>
        <w:rPr>
          <w:rFonts w:ascii="Times New Roman" w:hAnsi="Times New Roman"/>
          <w:color w:val="000000"/>
          <w:sz w:val="20"/>
        </w:rPr>
        <w:t xml:space="preserve"> </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16"/>
        </w:rPr>
        <w:t>Non-GAAP financial measure. For further information, please refer to the “Non-GAAP Financial Measures” section of this press release.</w:t>
      </w:r>
    </w:p>
    <w:p>
      <w:pPr>
        <w:pStyle w:val="TextBody"/>
        <w:bidi w:val="0"/>
        <w:jc w:val="left"/>
        <w:rPr>
          <w:rFonts w:ascii="Times New Roman" w:hAnsi="Times New Roman"/>
          <w:sz w:val="20"/>
        </w:rPr>
      </w:pPr>
      <w:r>
        <w:rPr>
          <w:rFonts w:ascii="Aptos;sans-serif" w:hAnsi="Aptos;sans-serif"/>
          <w:color w:val="000000"/>
          <w:sz w:val="11"/>
        </w:rPr>
        <w:t>2</w:t>
      </w:r>
      <w:r>
        <w:rPr>
          <w:rFonts w:ascii="Times New Roman" w:hAnsi="Times New Roman"/>
          <w:color w:val="000000"/>
          <w:sz w:val="20"/>
        </w:rPr>
        <w:t xml:space="preserve"> </w:t>
      </w:r>
      <w:r>
        <w:rPr>
          <w:rFonts w:ascii="Aptos;sans-serif" w:hAnsi="Aptos;sans-serif"/>
          <w:color w:val="000000"/>
          <w:sz w:val="16"/>
        </w:rPr>
        <w:t>Estimated Standalone Adjusted EBITDA includes estimated annual standalone public company costs of $32 million.</w:t>
      </w:r>
    </w:p>
    <w:p>
      <w:pPr>
        <w:pStyle w:val="TextBody"/>
        <w:bidi w:val="0"/>
        <w:jc w:val="left"/>
        <w:rPr>
          <w:rFonts w:ascii="Times New Roman" w:hAnsi="Times New Roman"/>
          <w:sz w:val="20"/>
        </w:rPr>
      </w:pPr>
      <w:r>
        <w:rPr>
          <w:rFonts w:ascii="Aptos;sans-serif" w:hAnsi="Aptos;sans-serif"/>
          <w:color w:val="000000"/>
          <w:sz w:val="13"/>
        </w:rPr>
        <w:t>3</w:t>
      </w:r>
      <w:r>
        <w:rPr>
          <w:rFonts w:ascii="Times New Roman" w:hAnsi="Times New Roman"/>
          <w:color w:val="000000"/>
          <w:sz w:val="20"/>
        </w:rPr>
        <w:t xml:space="preserve"> </w:t>
      </w:r>
      <w:r>
        <w:rPr>
          <w:rFonts w:ascii="Aptos;sans-serif" w:hAnsi="Aptos;sans-serif"/>
          <w:color w:val="000000"/>
          <w:sz w:val="16"/>
        </w:rPr>
        <w:t>Middleby Food Processing segment guidance as of May 7, 2026 reduced by estimated annual standalone public company costs of $32 million.</w:t>
      </w:r>
    </w:p>
    <w:p>
      <w:pPr>
        <w:pStyle w:val="TextBody"/>
        <w:bidi w:val="0"/>
        <w:jc w:val="left"/>
        <w:rPr>
          <w:rFonts w:ascii="Times New Roman" w:hAnsi="Times New Roman"/>
          <w:sz w:val="20"/>
        </w:rPr>
      </w:pPr>
      <w:r>
        <w:rPr>
          <w:rFonts w:ascii="Aptos;sans-serif" w:hAnsi="Aptos;sans-serif"/>
          <w:color w:val="000000"/>
          <w:sz w:val="11"/>
        </w:rPr>
        <w:t>4</w:t>
      </w:r>
      <w:r>
        <w:rPr>
          <w:rFonts w:ascii="Times New Roman" w:hAnsi="Times New Roman"/>
          <w:color w:val="000000"/>
          <w:sz w:val="20"/>
        </w:rPr>
        <w:t xml:space="preserve"> </w:t>
      </w:r>
      <w:r>
        <w:rPr>
          <w:rFonts w:ascii="Aptos;sans-serif" w:hAnsi="Aptos;sans-serif"/>
          <w:color w:val="000000"/>
          <w:sz w:val="16"/>
        </w:rPr>
        <w:t>Change at the midpoint of guidance for Net sales and Estimated Standalone Adjusted EBITDA.</w:t>
      </w:r>
    </w:p>
    <w:p>
      <w:pPr>
        <w:pStyle w:val="TextBody"/>
        <w:bidi w:val="0"/>
        <w:jc w:val="left"/>
        <w:rPr>
          <w:rFonts w:ascii="Times New Roman" w:hAnsi="Times New Roman"/>
          <w:sz w:val="20"/>
        </w:rPr>
      </w:pPr>
      <w:r>
        <w:rPr>
          <w:rFonts w:ascii="Aptos;sans-serif" w:hAnsi="Aptos;sans-serif"/>
          <w:color w:val="000000"/>
          <w:sz w:val="13"/>
        </w:rPr>
        <w:t>5</w:t>
      </w:r>
      <w:r>
        <w:rPr>
          <w:rFonts w:ascii="Times New Roman" w:hAnsi="Times New Roman"/>
          <w:color w:val="000000"/>
          <w:sz w:val="20"/>
        </w:rPr>
        <w:t xml:space="preserve"> </w:t>
      </w:r>
      <w:r>
        <w:rPr>
          <w:rFonts w:ascii="Aptos;sans-serif" w:hAnsi="Aptos;sans-serif"/>
          <w:color w:val="000000"/>
          <w:sz w:val="16"/>
        </w:rPr>
        <w:t>The midpoint of the guidance for change in organic net sales excludes ~4% related to acquisitions and ~1% related to changes in foreign exchange rates.</w:t>
      </w:r>
    </w:p>
    <w:p>
      <w:pPr>
        <w:pStyle w:val="TextBody"/>
        <w:bidi w:val="0"/>
        <w:jc w:val="left"/>
        <w:rPr>
          <w:rFonts w:ascii="Times New Roman" w:hAnsi="Times New Roman"/>
          <w:sz w:val="20"/>
        </w:rPr>
      </w:pPr>
      <w:r>
        <w:rPr>
          <w:rFonts w:ascii="Aptos;sans-serif" w:hAnsi="Aptos;sans-serif"/>
          <w:color w:val="000000"/>
          <w:sz w:val="13"/>
        </w:rPr>
        <w:t>6</w:t>
      </w:r>
      <w:r>
        <w:rPr>
          <w:rFonts w:ascii="Times New Roman" w:hAnsi="Times New Roman"/>
          <w:color w:val="000000"/>
          <w:sz w:val="20"/>
        </w:rPr>
        <w:t xml:space="preserve"> </w:t>
      </w:r>
      <w:r>
        <w:rPr>
          <w:rFonts w:ascii="Aptos;sans-serif" w:hAnsi="Aptos;sans-serif"/>
          <w:color w:val="000000"/>
          <w:sz w:val="16"/>
        </w:rPr>
        <w:t>Interest expense, net in the first half of 2026 includes insignificant net interest expense of $0.4 million as the Company entered into its credit agreement on June 29, 2026.</w:t>
      </w:r>
    </w:p>
    <w:p>
      <w:pPr>
        <w:pStyle w:val="HorizontalLine"/>
        <w:pBdr>
          <w:bottom w:val="double" w:sz="2" w:space="0" w:color="808080"/>
        </w:pBdr>
        <w:bidi w:val="0"/>
        <w:spacing w:before="0" w:after="283"/>
        <w:jc w:val="left"/>
        <w:rPr/>
      </w:pPr>
      <w:r>
        <w:rPr/>
      </w:r>
    </w:p>
    <w:p>
      <w:pPr>
        <w:pStyle w:val="TextBody"/>
        <w:bidi w:val="0"/>
        <w:spacing w:before="0" w:after="120"/>
        <w:jc w:val="both"/>
        <w:rPr>
          <w:rFonts w:ascii="Aptos;sans-serif" w:hAnsi="Aptos;sans-serif"/>
          <w:b/>
          <w:color w:val="000000"/>
          <w:sz w:val="22"/>
        </w:rPr>
      </w:pPr>
      <w:r>
        <w:rPr>
          <w:rFonts w:ascii="Aptos;sans-serif" w:hAnsi="Aptos;sans-serif"/>
          <w:b/>
          <w:color w:val="000000"/>
          <w:sz w:val="22"/>
        </w:rPr>
        <w:t>About Midera Food Processing</w:t>
      </w:r>
    </w:p>
    <w:p>
      <w:pPr>
        <w:pStyle w:val="TextBody"/>
        <w:bidi w:val="0"/>
        <w:spacing w:before="0" w:after="120"/>
        <w:jc w:val="both"/>
        <w:rPr>
          <w:rFonts w:ascii="Times New Roman" w:hAnsi="Times New Roman"/>
          <w:sz w:val="20"/>
        </w:rPr>
      </w:pPr>
      <w:r>
        <w:rPr>
          <w:rFonts w:ascii="Aptos;sans-serif" w:hAnsi="Aptos;sans-serif"/>
          <w:color w:val="000000"/>
          <w:sz w:val="22"/>
        </w:rPr>
        <w:t xml:space="preserve">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Midera employs approximately 2,800 people worldwide. For more information about Midera, please visit </w:t>
      </w:r>
      <w:r>
        <w:rPr>
          <w:rFonts w:ascii="Aptos;sans-serif" w:hAnsi="Aptos;sans-serif"/>
          <w:sz w:val="22"/>
        </w:rPr>
        <w:t>www.midera.com</w:t>
      </w:r>
      <w:r>
        <w:rPr>
          <w:rFonts w:ascii="Aptos;sans-serif" w:hAnsi="Aptos;sans-serif"/>
          <w:color w:val="000000"/>
          <w:sz w:val="22"/>
        </w:rPr>
        <w:t>.</w:t>
      </w:r>
    </w:p>
    <w:p>
      <w:pPr>
        <w:pStyle w:val="TextBody"/>
        <w:bidi w:val="0"/>
        <w:spacing w:before="0" w:after="120"/>
        <w:jc w:val="left"/>
        <w:rPr>
          <w:rFonts w:ascii="Times New Roman" w:hAnsi="Times New Roman"/>
          <w:sz w:val="20"/>
        </w:rPr>
      </w:pPr>
      <w:r>
        <w:rPr>
          <w:rFonts w:ascii="Aptos;sans-serif" w:hAnsi="Aptos;sans-serif"/>
          <w:b/>
          <w:color w:val="000000"/>
          <w:sz w:val="22"/>
        </w:rPr>
        <w:t>Cautionary Statement Regarding Forward-Looking Statements</w:t>
      </w:r>
      <w:r>
        <w:rPr>
          <w:rFonts w:ascii="Times New Roman" w:hAnsi="Times New Roman"/>
          <w:color w:val="000000"/>
          <w:sz w:val="20"/>
        </w:rPr>
        <w:t xml:space="preserve"> </w:t>
      </w:r>
    </w:p>
    <w:p>
      <w:pPr>
        <w:pStyle w:val="TextBody"/>
        <w:bidi w:val="0"/>
        <w:spacing w:before="0" w:after="120"/>
        <w:jc w:val="both"/>
        <w:rPr>
          <w:rFonts w:ascii="Aptos;sans-serif" w:hAnsi="Aptos;sans-serif"/>
          <w:color w:val="000000"/>
          <w:sz w:val="22"/>
        </w:rPr>
      </w:pPr>
      <w:r>
        <w:rPr>
          <w:rFonts w:ascii="Aptos;sans-serif" w:hAnsi="Aptos;sans-serif"/>
          <w:color w:val="000000"/>
          <w:sz w:val="22"/>
        </w:rPr>
        <w:t>This press release contains “forward-looking statements” subject to the Private Securities Litigation Reform Act of 1995, including statements regarding the Company’s expectations with respect to the Company's future performance, strategy, growth opportunities and value creation following the completed Spin-off from Middleby.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potential that the Company does not realize all of the expected benefits of the Spin-off; the failure of the Spin-off to qualify for the expected tax treatment; potential adverse effects of the Spin-off, including on the ability of the Company to develop and maintain relationships with personnel, customers, suppliers and others with whom it does business or the Company's business, financial condition, results of operations and financial performance; and other risks detailed in the Company's U.S. Securities and Exchange Commission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Contacts: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Investors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Rob Fagan</w:t>
      </w:r>
    </w:p>
    <w:p>
      <w:pPr>
        <w:pStyle w:val="TextBody"/>
        <w:bidi w:val="0"/>
        <w:spacing w:before="0" w:after="120"/>
        <w:jc w:val="left"/>
        <w:rPr>
          <w:rFonts w:ascii="Aptos;sans-serif" w:hAnsi="Aptos;sans-serif"/>
          <w:color w:val="000000"/>
          <w:sz w:val="22"/>
        </w:rPr>
      </w:pPr>
      <w:r>
        <w:rPr>
          <w:rFonts w:ascii="Aptos;sans-serif" w:hAnsi="Aptos;sans-serif"/>
          <w:color w:val="000000"/>
          <w:sz w:val="22"/>
        </w:rPr>
        <w:t>VP, FP&amp;A and Investor Relations</w:t>
      </w:r>
    </w:p>
    <w:p>
      <w:pPr>
        <w:pStyle w:val="TextBody"/>
        <w:bidi w:val="0"/>
        <w:spacing w:before="0" w:after="120"/>
        <w:jc w:val="left"/>
        <w:rPr>
          <w:rFonts w:ascii="Aptos;sans-serif" w:hAnsi="Aptos;sans-serif"/>
          <w:b/>
          <w:color w:val="467886"/>
          <w:sz w:val="22"/>
          <w:u w:val="single"/>
        </w:rPr>
      </w:pPr>
      <w:r>
        <w:rPr>
          <w:rFonts w:ascii="Aptos;sans-serif" w:hAnsi="Aptos;sans-serif"/>
          <w:b/>
          <w:color w:val="467886"/>
          <w:sz w:val="22"/>
          <w:u w:val="single"/>
        </w:rPr>
        <w:t>investors@midera.com</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Media</w:t>
      </w:r>
    </w:p>
    <w:p>
      <w:pPr>
        <w:pStyle w:val="TextBody"/>
        <w:bidi w:val="0"/>
        <w:spacing w:before="0" w:after="120"/>
        <w:jc w:val="left"/>
        <w:rPr>
          <w:rFonts w:ascii="Aptos;sans-serif" w:hAnsi="Aptos;sans-serif"/>
          <w:color w:val="000000"/>
          <w:sz w:val="22"/>
        </w:rPr>
      </w:pPr>
      <w:r>
        <w:rPr>
          <w:rFonts w:ascii="Aptos;sans-serif" w:hAnsi="Aptos;sans-serif"/>
          <w:color w:val="000000"/>
          <w:sz w:val="22"/>
        </w:rPr>
        <w:t>Michael Wolfe</w:t>
      </w:r>
    </w:p>
    <w:p>
      <w:pPr>
        <w:pStyle w:val="TextBody"/>
        <w:bidi w:val="0"/>
        <w:spacing w:before="0" w:after="120"/>
        <w:jc w:val="left"/>
        <w:rPr>
          <w:rFonts w:ascii="Aptos;sans-serif" w:hAnsi="Aptos;sans-serif"/>
          <w:color w:val="000000"/>
          <w:sz w:val="22"/>
        </w:rPr>
      </w:pPr>
      <w:r>
        <w:rPr>
          <w:rFonts w:ascii="Aptos;sans-serif" w:hAnsi="Aptos;sans-serif"/>
          <w:color w:val="000000"/>
          <w:sz w:val="22"/>
        </w:rPr>
        <w:t>ICR</w:t>
      </w:r>
    </w:p>
    <w:p>
      <w:pPr>
        <w:pStyle w:val="TextBody"/>
        <w:bidi w:val="0"/>
        <w:spacing w:before="0" w:after="120"/>
        <w:jc w:val="left"/>
        <w:rPr>
          <w:rFonts w:ascii="Aptos;sans-serif" w:hAnsi="Aptos;sans-serif"/>
          <w:b/>
          <w:color w:val="467886"/>
          <w:sz w:val="22"/>
          <w:u w:val="single"/>
        </w:rPr>
      </w:pPr>
      <w:r>
        <w:rPr>
          <w:rFonts w:ascii="Aptos;sans-serif" w:hAnsi="Aptos;sans-serif"/>
          <w:b/>
          <w:color w:val="467886"/>
          <w:sz w:val="22"/>
          <w:u w:val="single"/>
        </w:rPr>
        <w:t>Michael.Wolfe@icrinc.com</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MIDERA FOOD PROCESSING, INC.</w:t>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CONDENSED COMBINED STATEMENTS OF EARNINGS</w:t>
      </w:r>
    </w:p>
    <w:p>
      <w:pPr>
        <w:pStyle w:val="TextBody"/>
        <w:bidi w:val="0"/>
        <w:jc w:val="center"/>
        <w:rPr>
          <w:rFonts w:ascii="Times New Roman" w:hAnsi="Times New Roman"/>
          <w:sz w:val="20"/>
        </w:rPr>
      </w:pPr>
      <w:r>
        <w:rPr>
          <w:rFonts w:ascii="Aptos;sans-serif" w:hAnsi="Aptos;sans-serif"/>
          <w:b/>
          <w:color w:val="000000"/>
          <w:sz w:val="20"/>
        </w:rPr>
        <w:t>(amounts in millions)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50"/>
        <w:gridCol w:w="146"/>
        <w:gridCol w:w="297"/>
        <w:gridCol w:w="851"/>
        <w:gridCol w:w="146"/>
        <w:gridCol w:w="146"/>
        <w:gridCol w:w="333"/>
        <w:gridCol w:w="954"/>
        <w:gridCol w:w="181"/>
        <w:gridCol w:w="146"/>
        <w:gridCol w:w="297"/>
        <w:gridCol w:w="850"/>
        <w:gridCol w:w="146"/>
        <w:gridCol w:w="146"/>
        <w:gridCol w:w="333"/>
        <w:gridCol w:w="954"/>
        <w:gridCol w:w="429"/>
      </w:tblGrid>
      <w:tr>
        <w:trPr/>
        <w:tc>
          <w:tcPr>
            <w:tcW w:w="3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Six Months Ended</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28,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28, 2025</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385.2</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243.3</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141.9</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99.9</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0.1</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41.9</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(11.0</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53.9</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12.6</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41.3</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MIDERA FOOD PROCESSING, INC.</w:t>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CONDENSED COMBINED BALANCE SHEETS</w:t>
      </w:r>
    </w:p>
    <w:p>
      <w:pPr>
        <w:pStyle w:val="TextBody"/>
        <w:bidi w:val="0"/>
        <w:jc w:val="center"/>
        <w:rPr>
          <w:rFonts w:ascii="Times New Roman" w:hAnsi="Times New Roman"/>
          <w:sz w:val="20"/>
        </w:rPr>
      </w:pPr>
      <w:r>
        <w:rPr>
          <w:rFonts w:ascii="Aptos;sans-serif" w:hAnsi="Aptos;sans-serif"/>
          <w:b/>
          <w:color w:val="000000"/>
          <w:sz w:val="20"/>
        </w:rPr>
        <w:t>(amounts in millions)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p>
      <w:pPr>
        <w:pStyle w:val="TextBody"/>
        <w:bidi w:val="0"/>
        <w:jc w:val="left"/>
        <w:rPr/>
      </w:pPr>
      <w:r>
        <w:rPr/>
        <w:t> </w:t>
      </w:r>
    </w:p>
    <w:tbl>
      <w:tblPr>
        <w:tblW w:w="9815" w:type="dxa"/>
        <w:jc w:val="left"/>
        <w:tblInd w:w="0" w:type="dxa"/>
        <w:tblLayout w:type="fixed"/>
        <w:tblCellMar>
          <w:top w:w="28" w:type="dxa"/>
          <w:left w:w="28" w:type="dxa"/>
          <w:bottom w:w="28" w:type="dxa"/>
          <w:right w:w="28" w:type="dxa"/>
        </w:tblCellMar>
      </w:tblPr>
      <w:tblGrid>
        <w:gridCol w:w="5751"/>
        <w:gridCol w:w="146"/>
        <w:gridCol w:w="264"/>
        <w:gridCol w:w="966"/>
        <w:gridCol w:w="181"/>
        <w:gridCol w:w="146"/>
        <w:gridCol w:w="338"/>
        <w:gridCol w:w="1237"/>
        <w:gridCol w:w="786"/>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January 3, 2026</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u w:val="single"/>
              </w:rPr>
            </w:pPr>
            <w:r>
              <w:rPr>
                <w:rFonts w:ascii="Aptos;sans-serif" w:hAnsi="Aptos;sans-serif"/>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90.9</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215.3</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Related party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193.6</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79.6</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581.6</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163.2</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502.3</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173.3</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Long-term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Related party 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11.7</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27.5</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1,407.0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1,461.0</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u w:val="single"/>
              </w:rPr>
            </w:pPr>
            <w:r>
              <w:rPr>
                <w:rFonts w:ascii="Aptos;sans-serif" w:hAnsi="Aptos;sans-serif"/>
                <w:b/>
                <w:color w:val="000000"/>
                <w:sz w:val="20"/>
                <w:u w:val="single"/>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77.1</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Related party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217.2</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301.2</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28.7</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Long-term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35.1</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35.3</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Parent company net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Net Parent Investment (NPI)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820.4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1,088.2</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0"/>
              </w:rPr>
            </w:pPr>
            <w:r>
              <w:rPr>
                <w:rFonts w:ascii="Aptos;sans-serif" w:hAnsi="Aptos;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(27.5</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Total Parent company net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1,060.7</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0"/>
              </w:rPr>
            </w:pPr>
            <w:r>
              <w:rPr>
                <w:rFonts w:ascii="Aptos;sans-serif" w:hAnsi="Aptos;sans-serif"/>
                <w:color w:val="000000"/>
                <w:sz w:val="20"/>
              </w:rPr>
              <w:t>Total liabilities and Parent company net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1,407.0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1,461.0</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ptos;sans-serif" w:hAnsi="Aptos;sans-serif"/>
          <w:b/>
          <w:color w:val="000000"/>
          <w:sz w:val="20"/>
        </w:rPr>
      </w:pPr>
      <w:r>
        <w:rPr>
          <w:rFonts w:ascii="Aptos;sans-serif" w:hAnsi="Aptos;sans-serif"/>
          <w:b/>
          <w:color w:val="000000"/>
          <w:sz w:val="20"/>
        </w:rPr>
        <w:t>Non-GAAP Financial Measures</w:t>
      </w:r>
    </w:p>
    <w:p>
      <w:pPr>
        <w:pStyle w:val="TextBody"/>
        <w:bidi w:val="0"/>
        <w:jc w:val="left"/>
        <w:rPr/>
      </w:pPr>
      <w:r>
        <w:rPr/>
        <w:t> </w:t>
      </w:r>
    </w:p>
    <w:p>
      <w:pPr>
        <w:pStyle w:val="TextBody"/>
        <w:bidi w:val="0"/>
        <w:jc w:val="both"/>
        <w:rPr>
          <w:rFonts w:ascii="Aptos;sans-serif" w:hAnsi="Aptos;sans-serif"/>
          <w:color w:val="000000"/>
          <w:sz w:val="20"/>
        </w:rPr>
      </w:pPr>
      <w:r>
        <w:rPr>
          <w:rFonts w:ascii="Aptos;sans-serif" w:hAnsi="Aptos;sans-serif"/>
          <w:color w:val="000000"/>
          <w:sz w:val="20"/>
        </w:rPr>
        <w:t>The Company uses non-GAAP financial measures to supplement the financial measures presented in accordance with accounting principles generally accepted in the United States (“GAAP”). The non-GAAP financial measures disclosed by the Company should not be considered a substitute for, or superior to, financial measures prepared in accordance with GAAP, and the financial results prepared in accordance with GAAP. In addition, the non-GAAP financial measures do not have standard meanings and may vary from similarly titled non-GAAP financial measures used by other companies. The Company believes that its presentation of non-GAAP financial measures is useful because it provides investors and securities analysts with the same information that it uses internally for purposes of assessing its core operating and financial performance. The Company has not provided a reconciliation of forward-looking Estimated Standalone Adjusted EBITDA to the most directly comparable GAAP financial measure, net earnings, because certain items cannot be reasonably estimated at this time without unreasonable effort. These items include, but are not limited to, restructuring charges and the impact of changes in foreign exchange rates. The timing and magnitude of these items are uncertain and could have a material impact on the Company's results reported in accordance with GAAP.</w:t>
      </w:r>
    </w:p>
    <w:p>
      <w:pPr>
        <w:pStyle w:val="TextBody"/>
        <w:bidi w:val="0"/>
        <w:jc w:val="both"/>
        <w:rPr/>
      </w:pPr>
      <w:r>
        <w:rPr/>
        <w:t> </w:t>
      </w:r>
    </w:p>
    <w:p>
      <w:pPr>
        <w:pStyle w:val="TextBody"/>
        <w:bidi w:val="0"/>
        <w:jc w:val="both"/>
        <w:rPr>
          <w:rFonts w:ascii="Aptos;sans-serif" w:hAnsi="Aptos;sans-serif"/>
          <w:color w:val="000000"/>
          <w:sz w:val="20"/>
        </w:rPr>
      </w:pPr>
      <w:r>
        <w:rPr>
          <w:rFonts w:ascii="Aptos;sans-serif" w:hAnsi="Aptos;sans-serif"/>
          <w:color w:val="000000"/>
          <w:sz w:val="20"/>
        </w:rPr>
        <w:t>Definitions of the non-GAAP financial measures presented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Change in Organic net sales is defined as the change in net sales adjusted to exclude the impact of acquisitions and foreign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Adjusted EBITDA is defined as net earnings before interest, income taxes, depreciation and intangible amortization, or EBITDA, adjusted to exclude restructuring, acquisition related adjustments, impairment charges, stock compensation and other items which management considers to be outside core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Adjusted EBITDA margin is defined as Adjusted EBITDA divided by net sales.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Estimated Standalone Adjusted EBITDA is defined as Adjusted EBITDA less estimated incremental recurring costs for the Company to operate certain corporate support functions as a standalone public company (executive management, finance, accounting, tax, treasury, information technology and legal,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Estimated Standalone Adjusted EBITDA margin is defined as Estimated Standalone Adjusted EBITDA divided by net sales.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Net debt is defined as current maturities of long-term debt and long-term debt less 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Net leverage ratio is defined as net debt divided by last twelve months Estimated Standalone Adjusted EBITDA.</w:t>
      </w:r>
    </w:p>
    <w:p>
      <w:pPr>
        <w:pStyle w:val="TextBody"/>
        <w:bidi w:val="0"/>
        <w:jc w:val="both"/>
        <w:rPr/>
      </w:pPr>
      <w:r>
        <w:rPr/>
        <w:t> </w:t>
      </w:r>
    </w:p>
    <w:p>
      <w:pPr>
        <w:pStyle w:val="TextBody"/>
        <w:bidi w:val="0"/>
        <w:jc w:val="both"/>
        <w:rPr>
          <w:rFonts w:ascii="Aptos;sans-serif" w:hAnsi="Aptos;sans-serif"/>
          <w:color w:val="000000"/>
          <w:sz w:val="20"/>
        </w:rPr>
      </w:pPr>
      <w:r>
        <w:rPr>
          <w:rFonts w:ascii="Aptos;sans-serif" w:hAnsi="Aptos;sans-serif"/>
          <w:color w:val="000000"/>
          <w:sz w:val="20"/>
        </w:rPr>
        <w:t>The Company believes change in Organic net sales, Adjusted EBITDA, Adjusted EBITDA margin, Estimated Standalone Adjusted EBITDA, and Estimated Standalone Adjusted EBITDA margin are useful as supplements to its GAAP results of operations to evaluate certain aspects of its operations and financial performance, and its management team primarily focuses on non-GAAP items in evaluating performance for business planning purposes. The Company believes net debt and net leverage ratio are useful to investors in understanding our overall financial condition.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MIDERA FOOD PROCESSING, INC.</w:t>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RECONCILIATION OF GAAP FINANCIAL MEASURES TO NON-GAAP FINANCIAL MEASURES</w:t>
      </w:r>
    </w:p>
    <w:p>
      <w:pPr>
        <w:pStyle w:val="TextBody"/>
        <w:bidi w:val="0"/>
        <w:jc w:val="center"/>
        <w:rPr>
          <w:rFonts w:ascii="Times New Roman" w:hAnsi="Times New Roman"/>
          <w:sz w:val="20"/>
        </w:rPr>
      </w:pPr>
      <w:r>
        <w:rPr>
          <w:rFonts w:ascii="Aptos;sans-serif" w:hAnsi="Aptos;sans-serif"/>
          <w:b/>
          <w:color w:val="000000"/>
          <w:sz w:val="20"/>
        </w:rPr>
        <w:t>(amounts in millions, except percentages)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Reconciliation of Change in Net sales to Change in Organic net sales</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3211"/>
        <w:gridCol w:w="146"/>
        <w:gridCol w:w="405"/>
        <w:gridCol w:w="1635"/>
        <w:gridCol w:w="301"/>
        <w:gridCol w:w="146"/>
        <w:gridCol w:w="357"/>
        <w:gridCol w:w="1443"/>
        <w:gridCol w:w="34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Three Months Ended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Six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Change in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Less: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Less: Foreign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Change in Organic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1.2</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11.6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r>
    </w:tbl>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Reconciliation of Net earnings to Adjusted EBITDA and Estimated Standalone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259"/>
        <w:gridCol w:w="775"/>
        <w:gridCol w:w="286"/>
        <w:gridCol w:w="146"/>
        <w:gridCol w:w="271"/>
        <w:gridCol w:w="812"/>
        <w:gridCol w:w="286"/>
        <w:gridCol w:w="146"/>
        <w:gridCol w:w="259"/>
        <w:gridCol w:w="775"/>
        <w:gridCol w:w="286"/>
        <w:gridCol w:w="146"/>
        <w:gridCol w:w="271"/>
        <w:gridCol w:w="812"/>
        <w:gridCol w:w="286"/>
        <w:gridCol w:w="146"/>
        <w:gridCol w:w="267"/>
        <w:gridCol w:w="800"/>
        <w:gridCol w:w="477"/>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ptos;sans-serif" w:hAnsi="Aptos;sans-serif"/>
                <w:b/>
                <w:color w:val="000000"/>
                <w:sz w:val="16"/>
              </w:rPr>
              <w:t xml:space="preserve">LTM </w:t>
            </w:r>
            <w:r>
              <w:rPr>
                <w:rFonts w:ascii="Aptos;sans-serif" w:hAnsi="Aptos;sans-serif"/>
                <w:b/>
                <w:color w:val="000000"/>
                <w:sz w:val="11"/>
              </w:rPr>
              <w:t>(1)</w:t>
            </w:r>
            <w:r>
              <w:rPr>
                <w:rFonts w:ascii="Times New Roman" w:hAnsi="Times New Roman"/>
                <w:color w:val="000000"/>
                <w:sz w:val="16"/>
              </w:rPr>
              <w:t> </w:t>
            </w:r>
            <w:r>
              <w:rPr>
                <w:rFonts w:ascii="Aptos;sans-serif" w:hAnsi="Aptos;sans-serif"/>
                <w:b/>
                <w:color w:val="000000"/>
                <w:sz w:val="16"/>
              </w:rPr>
              <w:t>Ended</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28,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28,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245.4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216.7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470.4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385.2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938.4</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41.3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66.5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Net earnings % of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7.1</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i/>
                <w:color w:val="000000"/>
                <w:sz w:val="20"/>
              </w:rPr>
            </w:pPr>
            <w:r>
              <w:rPr>
                <w:rFonts w:ascii="Aptos;sans-serif" w:hAnsi="Aptos;sans-serif"/>
                <w:i/>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(0.6</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31.9</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15.2</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11.5</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ptos;sans-serif" w:hAnsi="Aptos;sans-serif"/>
                <w:color w:val="000000"/>
                <w:sz w:val="20"/>
              </w:rPr>
              <w:t xml:space="preserve">Other expense (income), net </w:t>
            </w:r>
            <w:r>
              <w:rPr>
                <w:rFonts w:ascii="Aptos;sans-serif" w:hAnsi="Aptos;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Non-cash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6.0</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ptos;sans-serif" w:hAnsi="Aptos;sans-serif"/>
                <w:color w:val="000000"/>
                <w:sz w:val="20"/>
              </w:rPr>
              <w:t xml:space="preserve">Restructuring expenses </w:t>
            </w:r>
            <w:r>
              <w:rPr>
                <w:rFonts w:ascii="Aptos;sans-serif" w:hAnsi="Aptos;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0.5</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ptos;sans-serif" w:hAnsi="Aptos;sans-serif"/>
                <w:color w:val="000000"/>
                <w:sz w:val="20"/>
              </w:rPr>
              <w:t xml:space="preserve">Acquisition related adjustments </w:t>
            </w:r>
            <w:r>
              <w:rPr>
                <w:rFonts w:ascii="Aptos;sans-serif" w:hAnsi="Aptos;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color w:val="000000"/>
                <w:sz w:val="20"/>
              </w:rPr>
            </w:pPr>
            <w:r>
              <w:rPr>
                <w:rFonts w:ascii="Aptos;sans-serif" w:hAnsi="Aptos;sans-serif"/>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ptos;sans-serif" w:hAnsi="Aptos;sans-serif"/>
                <w:color w:val="000000"/>
                <w:sz w:val="20"/>
              </w:rPr>
              <w:t xml:space="preserve">Separation costs </w:t>
            </w:r>
            <w:r>
              <w:rPr>
                <w:rFonts w:ascii="Aptos;sans-serif" w:hAnsi="Aptos;sans-serif"/>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24.5</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42.3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39.1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76.5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65.2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162.8</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16.9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17.3</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ptos;sans-serif" w:hAnsi="Aptos;sans-serif"/>
                <w:i/>
                <w:color w:val="000000"/>
                <w:sz w:val="20"/>
              </w:rPr>
            </w:pPr>
            <w:r>
              <w:rPr>
                <w:rFonts w:ascii="Aptos;sans-serif" w:hAnsi="Aptos;sans-serif"/>
                <w:i/>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ptos;sans-serif" w:hAnsi="Aptos;sans-serif"/>
                <w:color w:val="000000"/>
                <w:sz w:val="20"/>
              </w:rPr>
              <w:t xml:space="preserve">Recurring standalone cost adjustment </w:t>
            </w:r>
            <w:r>
              <w:rPr>
                <w:rFonts w:ascii="Aptos;sans-serif" w:hAnsi="Aptos;sans-serif"/>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Estimated Standalone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41.8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37.8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75.2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59.9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154.8</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i/>
                <w:color w:val="000000"/>
                <w:sz w:val="20"/>
              </w:rPr>
            </w:pPr>
            <w:r>
              <w:rPr>
                <w:rFonts w:ascii="Aptos;sans-serif" w:hAnsi="Aptos;sans-serif"/>
                <w:i/>
                <w:color w:val="000000"/>
                <w:sz w:val="20"/>
              </w:rPr>
              <w:t>Estimated Standalone 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i/>
                <w:color w:val="000000"/>
                <w:sz w:val="20"/>
              </w:rPr>
            </w:pPr>
            <w:r>
              <w:rPr>
                <w:rFonts w:ascii="Aptos;sans-serif" w:hAnsi="Aptos;sans-serif"/>
                <w:i/>
                <w:color w:val="000000"/>
                <w:sz w:val="20"/>
              </w:rPr>
              <w:t>16.5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20"/>
              </w:rPr>
            </w:pPr>
            <w:r>
              <w:rPr>
                <w:rFonts w:ascii="Aptos;sans-serif" w:hAnsi="Aptos;sans-serif"/>
                <w:i/>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Aptos;sans-serif" w:hAnsi="Aptos;sans-serif"/>
          <w:color w:val="000000"/>
          <w:sz w:val="19"/>
        </w:rPr>
        <w:t>Last twelve months ("LTM").</w:t>
      </w:r>
    </w:p>
    <w:p>
      <w:pPr>
        <w:pStyle w:val="TextBody"/>
        <w:bidi w:val="0"/>
        <w:jc w:val="left"/>
        <w:rPr>
          <w:rFonts w:ascii="Times New Roman" w:hAnsi="Times New Roman"/>
          <w:sz w:val="20"/>
        </w:rPr>
      </w:pPr>
      <w:r>
        <w:rPr>
          <w:rFonts w:ascii="Aptos;sans-serif" w:hAnsi="Aptos;sans-serif"/>
          <w:color w:val="000000"/>
          <w:sz w:val="13"/>
        </w:rPr>
        <w:t>(2)</w:t>
      </w:r>
      <w:r>
        <w:rPr>
          <w:rFonts w:ascii="Times New Roman" w:hAnsi="Times New Roman"/>
          <w:color w:val="000000"/>
          <w:sz w:val="20"/>
        </w:rPr>
        <w:t xml:space="preserve"> </w:t>
      </w:r>
      <w:r>
        <w:rPr>
          <w:rFonts w:ascii="Aptos;sans-serif" w:hAnsi="Aptos;sans-serif"/>
          <w:color w:val="000000"/>
          <w:sz w:val="19"/>
        </w:rPr>
        <w:t>Other expense (income), net consists of foreign exchange gains and losses and other non-operating items which management considers to be outside core operating results.</w:t>
      </w:r>
    </w:p>
    <w:p>
      <w:pPr>
        <w:pStyle w:val="TextBody"/>
        <w:bidi w:val="0"/>
        <w:jc w:val="left"/>
        <w:rPr>
          <w:rFonts w:ascii="Times New Roman" w:hAnsi="Times New Roman"/>
          <w:sz w:val="20"/>
        </w:rPr>
      </w:pPr>
      <w:r>
        <w:rPr>
          <w:rFonts w:ascii="Aptos;sans-serif" w:hAnsi="Aptos;sans-serif"/>
          <w:color w:val="000000"/>
          <w:sz w:val="13"/>
        </w:rPr>
        <w:t>(3)</w:t>
      </w:r>
      <w:r>
        <w:rPr>
          <w:rFonts w:ascii="Times New Roman" w:hAnsi="Times New Roman"/>
          <w:color w:val="000000"/>
          <w:sz w:val="20"/>
        </w:rPr>
        <w:t xml:space="preserve"> </w:t>
      </w:r>
      <w:r>
        <w:rPr>
          <w:rFonts w:ascii="Aptos;sans-serif" w:hAnsi="Aptos;sans-serif"/>
          <w:color w:val="000000"/>
          <w:sz w:val="19"/>
        </w:rPr>
        <w:t>Restructuring expenses relate primarily to headcount reductions and facility consolidations.</w:t>
      </w:r>
    </w:p>
    <w:p>
      <w:pPr>
        <w:pStyle w:val="TextBody"/>
        <w:bidi w:val="0"/>
        <w:jc w:val="left"/>
        <w:rPr>
          <w:rFonts w:ascii="Times New Roman" w:hAnsi="Times New Roman"/>
          <w:sz w:val="20"/>
        </w:rPr>
      </w:pPr>
      <w:r>
        <w:rPr>
          <w:rFonts w:ascii="Aptos;sans-serif" w:hAnsi="Aptos;sans-serif"/>
          <w:color w:val="000000"/>
          <w:sz w:val="13"/>
        </w:rPr>
        <w:t>(4)</w:t>
      </w:r>
      <w:r>
        <w:rPr>
          <w:rFonts w:ascii="Times New Roman" w:hAnsi="Times New Roman"/>
          <w:color w:val="000000"/>
          <w:sz w:val="20"/>
        </w:rPr>
        <w:t xml:space="preserve"> </w:t>
      </w:r>
      <w:r>
        <w:rPr>
          <w:rFonts w:ascii="Aptos;sans-serif" w:hAnsi="Aptos;sans-serif"/>
          <w:color w:val="000000"/>
          <w:sz w:val="19"/>
        </w:rPr>
        <w:t>Acquisition related adjustments consist of changes in the fair value of contingent consideration and inventory step-up charges.</w:t>
      </w:r>
    </w:p>
    <w:p>
      <w:pPr>
        <w:pStyle w:val="TextBody"/>
        <w:bidi w:val="0"/>
        <w:jc w:val="left"/>
        <w:rPr>
          <w:rFonts w:ascii="Times New Roman" w:hAnsi="Times New Roman"/>
          <w:sz w:val="20"/>
        </w:rPr>
      </w:pPr>
      <w:r>
        <w:rPr>
          <w:rFonts w:ascii="Aptos;sans-serif" w:hAnsi="Aptos;sans-serif"/>
          <w:color w:val="000000"/>
          <w:sz w:val="13"/>
        </w:rPr>
        <w:t>(5)</w:t>
      </w:r>
      <w:r>
        <w:rPr>
          <w:rFonts w:ascii="Times New Roman" w:hAnsi="Times New Roman"/>
          <w:color w:val="000000"/>
          <w:sz w:val="20"/>
        </w:rPr>
        <w:t xml:space="preserve"> </w:t>
      </w:r>
      <w:r>
        <w:rPr>
          <w:rFonts w:ascii="Aptos;sans-serif" w:hAnsi="Aptos;sans-serif"/>
          <w:color w:val="000000"/>
          <w:sz w:val="19"/>
        </w:rPr>
        <w:t>Separation costs consist of professional services fees, including legal counsel, financial advisors and accounting and tax advisors, and other third party costs associated with the separation of Midera into a standalone public company.</w:t>
      </w:r>
    </w:p>
    <w:p>
      <w:pPr>
        <w:pStyle w:val="TextBody"/>
        <w:bidi w:val="0"/>
        <w:jc w:val="left"/>
        <w:rPr>
          <w:rFonts w:ascii="Times New Roman" w:hAnsi="Times New Roman"/>
          <w:sz w:val="20"/>
        </w:rPr>
      </w:pPr>
      <w:r>
        <w:rPr>
          <w:rFonts w:ascii="Aptos;sans-serif" w:hAnsi="Aptos;sans-serif"/>
          <w:color w:val="000000"/>
          <w:sz w:val="13"/>
        </w:rPr>
        <w:t>(6)</w:t>
      </w:r>
      <w:r>
        <w:rPr>
          <w:rFonts w:ascii="Times New Roman" w:hAnsi="Times New Roman"/>
          <w:color w:val="000000"/>
          <w:sz w:val="20"/>
        </w:rPr>
        <w:t xml:space="preserve"> </w:t>
      </w:r>
      <w:r>
        <w:rPr>
          <w:rFonts w:ascii="Aptos;sans-serif" w:hAnsi="Aptos;sans-serif"/>
          <w:color w:val="000000"/>
          <w:sz w:val="19"/>
        </w:rPr>
        <w:t>Estimated incremental recurring costs for Midera to operate certain corporate support functions as a standalone public company (executive management, finance, accounting, tax, treasury, information technology and legal, among others).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MIDERA FOOD PROCESSING, INC.</w:t>
      </w:r>
    </w:p>
    <w:p>
      <w:pPr>
        <w:pStyle w:val="TextBody"/>
        <w:bidi w:val="0"/>
        <w:jc w:val="center"/>
        <w:rPr>
          <w:rFonts w:ascii="Aptos;sans-serif" w:hAnsi="Aptos;sans-serif"/>
          <w:b/>
          <w:color w:val="000000"/>
          <w:sz w:val="20"/>
          <w:u w:val="single"/>
        </w:rPr>
      </w:pPr>
      <w:r>
        <w:rPr>
          <w:rFonts w:ascii="Aptos;sans-serif" w:hAnsi="Aptos;sans-serif"/>
          <w:b/>
          <w:color w:val="000000"/>
          <w:sz w:val="20"/>
          <w:u w:val="single"/>
        </w:rPr>
        <w:t>RECONCILIATION OF GAAP FINANCIAL MEASURES TO NON-GAAP FINANCIAL MEASURES</w:t>
      </w:r>
    </w:p>
    <w:p>
      <w:pPr>
        <w:pStyle w:val="TextBody"/>
        <w:bidi w:val="0"/>
        <w:jc w:val="center"/>
        <w:rPr>
          <w:rFonts w:ascii="Times New Roman" w:hAnsi="Times New Roman"/>
          <w:sz w:val="20"/>
        </w:rPr>
      </w:pPr>
      <w:r>
        <w:rPr>
          <w:rFonts w:ascii="Aptos;sans-serif" w:hAnsi="Aptos;sans-serif"/>
          <w:b/>
          <w:color w:val="000000"/>
          <w:sz w:val="20"/>
        </w:rPr>
        <w:t>(amounts in millions, except percentages)</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Net debt and Net leverage ratio</w:t>
      </w:r>
    </w:p>
    <w:p>
      <w:pPr>
        <w:pStyle w:val="TextBody"/>
        <w:bidi w:val="0"/>
        <w:jc w:val="left"/>
        <w:rPr/>
      </w:pPr>
      <w:r>
        <w:rPr/>
        <w:t> </w:t>
      </w:r>
    </w:p>
    <w:tbl>
      <w:tblPr>
        <w:tblW w:w="6013" w:type="dxa"/>
        <w:jc w:val="left"/>
        <w:tblInd w:w="0" w:type="dxa"/>
        <w:tblLayout w:type="fixed"/>
        <w:tblCellMar>
          <w:top w:w="28" w:type="dxa"/>
          <w:left w:w="28" w:type="dxa"/>
          <w:bottom w:w="28" w:type="dxa"/>
          <w:right w:w="28" w:type="dxa"/>
        </w:tblCellMar>
      </w:tblPr>
      <w:tblGrid>
        <w:gridCol w:w="4411"/>
        <w:gridCol w:w="146"/>
        <w:gridCol w:w="319"/>
        <w:gridCol w:w="911"/>
        <w:gridCol w:w="22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July 4, 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254.1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Less: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208.1</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LTM Estimated Standalone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leverage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3823</Words>
  <Characters>21494</Characters>
  <CharactersWithSpaces>25550</CharactersWithSpaces>
  <Paragraphs>1287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